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19.png" ContentType="image/png"/>
  <Override PartName="/word/media/rId121.png" ContentType="image/png"/>
  <Override PartName="/word/media/rId117.png" ContentType="image/png"/>
  <Override PartName="/word/media/rId93.png" ContentType="image/png"/>
  <Override PartName="/word/media/rId83.png" ContentType="image/png"/>
  <Override PartName="/word/media/rId85.png" ContentType="image/png"/>
  <Override PartName="/word/media/rId81.png" ContentType="image/png"/>
  <Override PartName="/word/media/rId106.png" ContentType="image/png"/>
  <Override PartName="/word/media/rId111.png" ContentType="image/png"/>
  <Override PartName="/word/media/rId104.png" ContentType="image/png"/>
  <Override PartName="/word/media/rId102.png" ContentType="image/png"/>
  <Override PartName="/word/media/rId78.jpg" ContentType="image/jpeg"/>
  <Override PartName="/word/media/rId99.png" ContentType="image/png"/>
  <Override PartName="/word/media/rId97.png" ContentType="image/png"/>
  <Override PartName="/word/media/rId123.png" ContentType="image/png"/>
  <Override PartName="/word/media/rId91.png" ContentType="image/png"/>
  <Override PartName="/word/media/rId50.png" ContentType="image/png"/>
  <Override PartName="/word/media/rId33.jpg" ContentType="image/jpeg"/>
  <Override PartName="/word/media/rId29.jpg" ContentType="image/jpeg"/>
  <Override PartName="/word/media/rId47.jpg" ContentType="image/jpeg"/>
  <Override PartName="/word/media/rId31.jpg" ContentType="image/jpeg"/>
  <Override PartName="/word/media/rId45.png" ContentType="image/png"/>
  <Override PartName="/word/media/rId39.png" ContentType="image/png"/>
  <Override PartName="/word/media/rId54.jpg" ContentType="image/jpeg"/>
  <Override PartName="/word/media/rId56.jpg" ContentType="image/jpeg"/>
  <Override PartName="/word/media/rId52.png" ContentType="image/png"/>
  <Override PartName="/word/media/rId58.png" ContentType="image/png"/>
  <Override PartName="/word/media/rId35.jpg" ContentType="image/jpeg"/>
  <Override PartName="/word/media/rId24.jpg" ContentType="image/jpeg"/>
  <Override PartName="/word/media/rId27.png" ContentType="image/png"/>
  <Override PartName="/word/media/rId37.jpg" ContentType="image/jpeg"/>
  <Override PartName="/word/media/rId61.png" ContentType="image/png"/>
  <Override PartName="/word/media/rId6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bookmarkStart w:id="21" w:name="sec:abstract"/>
      <w:r>
        <w:t xml:space="preserve">[sec:abstract]</w:t>
      </w:r>
      <w:bookmarkEnd w:id="21"/>
    </w:p>
    <w:p>
      <w:pPr>
        <w:pStyle w:val="BodyText"/>
      </w:pPr>
      <w:r>
        <w:t xml:space="preserve">In the twenty-first century, harnassing the power and abundance of environmental data has the potential to unleash a greater understand of and appreciation for the natural environment and enable better integration of the built environment by dynamically responding to the natural environment’s processes. Reliably, accurately, and consistently collecting quality observations for monitoring, analysis, and future design adjustments becomes necessary when high volumes of data are able to be processed rapidly and automatically. In this thesis, I will demonstrate the need for, and benefits of, a data-oriented approach to Green Infrastructure design and analysis using the I-95 Revive project and PennDOT’s SMP A site as a case study for robust monitoring networks capable of minute-by-minute measurements over a years-long span to enable better insight to the natural processes occuring in the rain garden and the potential effects on downstream hydraulics.</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3"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p>
    <w:bookmarkEnd w:id="23"/>
    <w:bookmarkStart w:id="68" w:name="sec:data-collection"/>
    <w:p>
      <w:pPr>
        <w:pStyle w:val="Heading1"/>
      </w:pPr>
      <w:r>
        <w:t xml:space="preserve">Standardized Data Collection</w:t>
      </w:r>
    </w:p>
    <w:bookmarkStart w:id="26" w:name="background"/>
    <w:p>
      <w:pPr>
        <w:pStyle w:val="Heading2"/>
      </w:pPr>
      <w:r>
        <w:t xml:space="preserve">Background</w:t>
      </w:r>
    </w:p>
    <w:p>
      <w:pPr>
        <w:pStyle w:val="FirstParagraph"/>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p>
    <w:p>
      <w:pPr>
        <w:pStyle w:val="BodyText"/>
      </w:pPr>
      <w:r>
        <w:t xml:space="preserve">Measuring water in any system, natural or anthropogenic, is not without its challenges.</w:t>
      </w:r>
      <w:r>
        <w:t xml:space="preserve"> </w:t>
      </w:r>
      <w:r>
        <w:t xml:space="preserve">After all, nature obeys the laws of entropy, and energy tends to dissipate towards its lowest potential.</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No two storms will ever be the same in magnitude, duration, or intensity profile, so constructed solutions must be flexible enough to handle storms ranging from slow, drawn out events, to short, intense events.</w:t>
      </w:r>
      <w:r>
        <w:t xml:space="preserve"> </w:t>
      </w: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neutral manner that avoids disastrous flooding while also minimizing the impact to all parts of the environment.</w:t>
      </w:r>
      <w:r>
        <w:t xml:space="preserve"> </w:t>
      </w:r>
      <w:r>
        <w:t xml:space="preserve">In Philadelphia, combined sewer systems (CSS) were the preferred method of handling large volumes of rainfall for nearly the city’s entire history (</w:t>
      </w:r>
      <w:r>
        <w:t xml:space="preserve">(Akhavan and Jianpeng 2015)</w:t>
      </w:r>
      <w:r>
        <w:t xml:space="preserve">), but have a major negative impact on the environment via combined sewer overflows (CSO).</w:t>
      </w:r>
      <w:r>
        <w:t xml:space="preserve"> </w:t>
      </w:r>
      <w:r>
        <w:t xml:space="preserve">Only recently have green initiatives such as Philadelphia’s "Green Streets, Green City" expanded, allowing the city to expedite the creation of environmentally friendly means of removing stormwater (</w:t>
      </w:r>
      <w:r>
        <w:t xml:space="preserve">(Philadelphia Water Department 2018)</w:t>
      </w:r>
      <w:r>
        <w:t xml:space="preserve">;</w:t>
      </w:r>
      <w:r>
        <w:t xml:space="preserve"> </w:t>
      </w:r>
      <w:r>
        <w:t xml:space="preserve">(Callahan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p>
    <w:p>
      <w:pPr>
        <w:pStyle w:val="CaptionedFigure"/>
      </w:pPr>
      <w:bookmarkStart w:id="25"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24"/>
                    <a:stretch>
                      <a:fillRect/>
                    </a:stretch>
                  </pic:blipFill>
                  <pic:spPr bwMode="auto">
                    <a:xfrm>
                      <a:off x="0" y="0"/>
                      <a:ext cx="5334000" cy="2819467"/>
                    </a:xfrm>
                    <a:prstGeom prst="rect">
                      <a:avLst/>
                    </a:prstGeom>
                    <a:noFill/>
                    <a:ln w="9525">
                      <a:noFill/>
                      <a:headEnd/>
                      <a:tailEnd/>
                    </a:ln>
                  </pic:spPr>
                </pic:pic>
              </a:graphicData>
            </a:graphic>
          </wp:inline>
        </w:drawing>
      </w:r>
      <w:bookmarkEnd w:id="25"/>
    </w:p>
    <w:p>
      <w:pPr>
        <w:pStyle w:val="ImageCaption"/>
      </w:pPr>
      <w:r>
        <w:t xml:space="preserve">Natural vs Urban water budget (</w:t>
      </w:r>
      <w:r>
        <w:t xml:space="preserve">(Philadelphia Water Department 2021)</w:t>
      </w:r>
      <w:r>
        <w:t xml:space="preserve">).</w:t>
      </w:r>
    </w:p>
    <w:p>
      <w:pPr>
        <w:pStyle w:val="BodyText"/>
      </w:pPr>
      <w:r>
        <w:t xml:space="preserve">This chapter will discuss best practices pertaining to the remote sensing of green infrastructure conditions developed for SMP A in the GR2 section of PennDOT’s I-95 Revive project.</w:t>
      </w:r>
      <w:r>
        <w:t xml:space="preserve"> </w:t>
      </w:r>
      <w:r>
        <w:t xml:space="preserve">This framework has been developed to be reliable, consistent, easy to implement, and expandable to other sites with minimal additional configuration.</w:t>
      </w:r>
      <w:r>
        <w:t xml:space="preserve"> </w:t>
      </w:r>
      <w:r>
        <w:t xml:space="preserve">A primary goal of this research effort is to not only inform better data collection, but also to enable that data to be collected at scale across many sites in a project or across many different projects to allow for more widespread analysis of green infrastructure’s performance, maintenance needs, and impact on the natural environment (</w:t>
      </w:r>
      <w:r>
        <w:t xml:space="preserve">(Burcin et al. 2014)</w:t>
      </w:r>
      <w:r>
        <w:t xml:space="preserve">).</w:t>
      </w:r>
      <w:r>
        <w:t xml:space="preserve"> </w:t>
      </w:r>
      <w:r>
        <w:t xml:space="preserve">To that end, measurements must be precise and data recording and transmission must be unhindered by randomness or other inconsistency.</w:t>
      </w:r>
      <w:r>
        <w:t xml:space="preserve"> </w:t>
      </w:r>
      <w:r>
        <w:t xml:space="preserve">Myriad challenges exist in this effort, but the focus of this discussion is accurate measurements of flowing water, which exhibits a wide variety of properties ranging from depth and velocity to random formations of currents and internal feedback in the form of turbulence (</w:t>
      </w:r>
      <w:r>
        <w:t xml:space="preserve">(Mays 2010)</w:t>
      </w:r>
      <w:r>
        <w:t xml:space="preserve">).</w:t>
      </w:r>
    </w:p>
    <w:p>
      <w:pPr>
        <w:pStyle w:val="BodyText"/>
      </w:pPr>
      <w:r>
        <w:t xml:space="preserve">The most important aspects of monitoring a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bookmarkEnd w:id="26"/>
    <w:bookmarkStart w:id="43"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 that flow into it from a network of pipes beneath the highway.</w:t>
      </w:r>
      <w:r>
        <w:t xml:space="preserve"> </w:t>
      </w:r>
      <w:r>
        <w:t xml:space="preserve">Most of the directly connected impervious area (DCIA) lies in the northbound section, per LiDAR surveys conducted in 2017.</w:t>
      </w:r>
      <w:r>
        <w:t xml:space="preserve"> </w:t>
      </w:r>
      <w:r>
        <w:t xml:space="preserve">SMP A is a linear bioswale type rain garden split into 3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28" w:name="fig:site-layout"/>
      <w:r>
        <w:drawing>
          <wp:inline>
            <wp:extent cx="5334000" cy="2068609"/>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27"/>
                    <a:stretch>
                      <a:fillRect/>
                    </a:stretch>
                  </pic:blipFill>
                  <pic:spPr bwMode="auto">
                    <a:xfrm>
                      <a:off x="0" y="0"/>
                      <a:ext cx="5334000" cy="2068609"/>
                    </a:xfrm>
                    <a:prstGeom prst="rect">
                      <a:avLst/>
                    </a:prstGeom>
                    <a:noFill/>
                    <a:ln w="9525">
                      <a:noFill/>
                      <a:headEnd/>
                      <a:tailEnd/>
                    </a:ln>
                  </pic:spPr>
                </pic:pic>
              </a:graphicData>
            </a:graphic>
          </wp:inline>
        </w:drawing>
      </w:r>
      <w:bookmarkEnd w:id="28"/>
    </w:p>
    <w:p>
      <w:pPr>
        <w:pStyle w:val="ImageCaption"/>
      </w:pPr>
      <w:r>
        <w:t xml:space="preserve">SMP A site layout.</w:t>
      </w:r>
    </w:p>
    <w:p>
      <w:pPr>
        <w:pStyle w:val="BodyText"/>
      </w:pPr>
      <w:r>
        <w:t xml:space="preserve">The upstream portion contains one inlet (N8) that is a 30" diameter reinforced concrete pipe (RCP).</w:t>
      </w:r>
      <w:r>
        <w:t xml:space="preserve"> </w:t>
      </w:r>
      <w:r>
        <w:t xml:space="preserve">This upstream section is planted with local, salt tolerant grasses and small coniferous trees.</w:t>
      </w:r>
      <w:r>
        <w:t xml:space="preserve"> </w:t>
      </w:r>
      <w:r>
        <w:t xml:space="preserve">The surface is mulched, and the cross-sectional geometry is gently sloping.</w:t>
      </w:r>
      <w:r>
        <w:t xml:space="preserve"> </w:t>
      </w:r>
      <w:r>
        <w:t xml:space="preserve">The upstream section terminates with a 45 steel weir plate situated in the center of a plywood check dam that prevents unmeasured flow from transiting to the center section (Figure</w:t>
      </w:r>
      <w:r>
        <w:t xml:space="preserve"> </w:t>
      </w:r>
      <w:hyperlink w:anchor="fig:check-dam">
        <w:r>
          <w:rPr>
            <w:rStyle w:val="Hyperlink"/>
          </w:rPr>
          <w:t xml:space="preserve">2.3</w:t>
        </w:r>
      </w:hyperlink>
      <w:r>
        <w:t xml:space="preserve">).</w:t>
      </w:r>
    </w:p>
    <w:p>
      <w:pPr>
        <w:pStyle w:val="CaptionedFigure"/>
      </w:pPr>
      <w:bookmarkStart w:id="30"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29"/>
                    <a:stretch>
                      <a:fillRect/>
                    </a:stretch>
                  </pic:blipFill>
                  <pic:spPr bwMode="auto">
                    <a:xfrm>
                      <a:off x="0" y="0"/>
                      <a:ext cx="5334000" cy="2400300"/>
                    </a:xfrm>
                    <a:prstGeom prst="rect">
                      <a:avLst/>
                    </a:prstGeom>
                    <a:noFill/>
                    <a:ln w="9525">
                      <a:noFill/>
                      <a:headEnd/>
                      <a:tailEnd/>
                    </a:ln>
                  </pic:spPr>
                </pic:pic>
              </a:graphicData>
            </a:graphic>
          </wp:inline>
        </w:drawing>
      </w:r>
      <w:bookmarkEnd w:id="30"/>
    </w:p>
    <w:p>
      <w:pPr>
        <w:pStyle w:val="ImageCaption"/>
      </w:pPr>
      <w:r>
        <w:t xml:space="preserve">Check dam at the downstream end of the central gabion blanket section of SMP A.</w:t>
      </w:r>
    </w:p>
    <w:p>
      <w:pPr>
        <w:pStyle w:val="BodyText"/>
      </w:pPr>
      <w:r>
        <w:t xml:space="preserve">The center section is lined on the south side by an impermeable fabric to prevent infiltration from damaging neighboring structures’ foundations.</w:t>
      </w:r>
      <w:r>
        <w:t xml:space="preserve"> </w:t>
      </w:r>
      <w:r>
        <w:t xml:space="preserve">The entire section is lined with gabion basket devices, which help prevent erosion and cut down on weed growth.</w:t>
      </w:r>
      <w:r>
        <w:t xml:space="preserve"> </w:t>
      </w:r>
      <w:r>
        <w:t xml:space="preserve">There is a single 18" RCP inlet (N9) in this section and the cross section has more pronounced slopes (Figure</w:t>
      </w:r>
      <w:r>
        <w:t xml:space="preserve"> </w:t>
      </w:r>
      <w:hyperlink w:anchor="fig:gabion-blanket">
        <w:r>
          <w:rPr>
            <w:rStyle w:val="Hyperlink"/>
          </w:rPr>
          <w:t xml:space="preserve">2.4</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32"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1"/>
                    <a:stretch>
                      <a:fillRect/>
                    </a:stretch>
                  </pic:blipFill>
                  <pic:spPr bwMode="auto">
                    <a:xfrm>
                      <a:off x="0" y="0"/>
                      <a:ext cx="5334000" cy="4002339"/>
                    </a:xfrm>
                    <a:prstGeom prst="rect">
                      <a:avLst/>
                    </a:prstGeom>
                    <a:noFill/>
                    <a:ln w="9525">
                      <a:noFill/>
                      <a:headEnd/>
                      <a:tailEnd/>
                    </a:ln>
                  </pic:spPr>
                </pic:pic>
              </a:graphicData>
            </a:graphic>
          </wp:inline>
        </w:drawing>
      </w:r>
      <w:bookmarkEnd w:id="32"/>
    </w:p>
    <w:p>
      <w:pPr>
        <w:pStyle w:val="ImageCaption"/>
      </w:pPr>
      <w:r>
        <w:t xml:space="preserve">Gabion blanket section showing highly sloped banks.</w:t>
      </w:r>
    </w:p>
    <w:p>
      <w:pPr>
        <w:pStyle w:val="BodyText"/>
      </w:pPr>
      <w:r>
        <w:t xml:space="preserve">The downstream portion of the garden contains one more 18" RCP inlet (N10), as well as two concrete overflow structures connected to Philadelphia’s CSS known as B1 and B2.</w:t>
      </w:r>
      <w:r>
        <w:t xml:space="preserve"> </w:t>
      </w:r>
      <w:r>
        <w:t xml:space="preserve">These structures have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2.5</w:t>
        </w:r>
      </w:hyperlink>
      <w:r>
        <w:t xml:space="preserve">), with another pair of PT devices for measuring the outflow from the system, again using the standard weir equation.</w:t>
      </w:r>
    </w:p>
    <w:p>
      <w:pPr>
        <w:pStyle w:val="CaptionedFigure"/>
      </w:pPr>
      <w:bookmarkStart w:id="34" w:name="fig:outlet-structure"/>
      <w:r>
        <w:drawing>
          <wp:inline>
            <wp:extent cx="5334000" cy="2400763"/>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33"/>
                    <a:stretch>
                      <a:fillRect/>
                    </a:stretch>
                  </pic:blipFill>
                  <pic:spPr bwMode="auto">
                    <a:xfrm>
                      <a:off x="0" y="0"/>
                      <a:ext cx="5334000" cy="2400763"/>
                    </a:xfrm>
                    <a:prstGeom prst="rect">
                      <a:avLst/>
                    </a:prstGeom>
                    <a:noFill/>
                    <a:ln w="9525">
                      <a:noFill/>
                      <a:headEnd/>
                      <a:tailEnd/>
                    </a:ln>
                  </pic:spPr>
                </pic:pic>
              </a:graphicData>
            </a:graphic>
          </wp:inline>
        </w:drawing>
      </w:r>
      <w:bookmarkEnd w:id="34"/>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south,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catchments (Figure</w:t>
      </w:r>
      <w:r>
        <w:t xml:space="preserve"> </w:t>
      </w:r>
      <w:hyperlink w:anchor="fig:misaligned-catchments">
        <w:r>
          <w:rPr>
            <w:rStyle w:val="Hyperlink"/>
          </w:rPr>
          <w:t xml:space="preserve">2.6</w:t>
        </w:r>
      </w:hyperlink>
      <w:r>
        <w:t xml:space="preserve">) on the highway, and lack of barrier at the top of the ramp mean that a significant amount of flow enters the basin after flowing down the ramp.</w:t>
      </w:r>
      <w:r>
        <w:t xml:space="preserve"> </w:t>
      </w:r>
      <w:r>
        <w:t xml:space="preserve">In June 2019, approximately 60 sandbags were added to an existing asphalt berm on the ramp, along with an H-flume with a PT sensor to capture the hydraulics of the ramp.</w:t>
      </w:r>
    </w:p>
    <w:p>
      <w:pPr>
        <w:pStyle w:val="CaptionedFigure"/>
      </w:pPr>
      <w:bookmarkStart w:id="36" w:name="fig:misaligned-catchments"/>
      <w:r>
        <w:drawing>
          <wp:inline>
            <wp:extent cx="5334000" cy="4000500"/>
            <wp:effectExtent b="0" l="0" r="0" t="0"/>
            <wp:docPr descr="Misaligned catchment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bookmarkEnd w:id="36"/>
    </w:p>
    <w:p>
      <w:pPr>
        <w:pStyle w:val="ImageCaption"/>
      </w:pPr>
      <w:r>
        <w:t xml:space="preserve">Misaligned catchments allow water to bypass and flow down the temporary ramp.</w:t>
      </w:r>
    </w:p>
    <w:p>
      <w:pPr>
        <w:pStyle w:val="CaptionedFigure"/>
      </w:pPr>
      <w:bookmarkStart w:id="38"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37"/>
                    <a:stretch>
                      <a:fillRect/>
                    </a:stretch>
                  </pic:blipFill>
                  <pic:spPr bwMode="auto">
                    <a:xfrm>
                      <a:off x="0" y="0"/>
                      <a:ext cx="3742944" cy="4059936"/>
                    </a:xfrm>
                    <a:prstGeom prst="rect">
                      <a:avLst/>
                    </a:prstGeom>
                    <a:noFill/>
                    <a:ln w="9525">
                      <a:noFill/>
                      <a:headEnd/>
                      <a:tailEnd/>
                    </a:ln>
                  </pic:spPr>
                </pic:pic>
              </a:graphicData>
            </a:graphic>
          </wp:inline>
        </w:drawing>
      </w:r>
      <w:bookmarkEnd w:id="38"/>
    </w:p>
    <w:p>
      <w:pPr>
        <w:pStyle w:val="ImageCaption"/>
      </w:pPr>
      <w:r>
        <w:t xml:space="preserve">Temporary ramp at the downstream end of SMP A.</w:t>
      </w:r>
    </w:p>
    <w:bookmarkStart w:id="41"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2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4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0"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39"/>
                    <a:stretch>
                      <a:fillRect/>
                    </a:stretch>
                  </pic:blipFill>
                  <pic:spPr bwMode="auto">
                    <a:xfrm>
                      <a:off x="0" y="0"/>
                      <a:ext cx="1682006" cy="556591"/>
                    </a:xfrm>
                    <a:prstGeom prst="rect">
                      <a:avLst/>
                    </a:prstGeom>
                    <a:noFill/>
                    <a:ln w="9525">
                      <a:noFill/>
                      <a:headEnd/>
                      <a:tailEnd/>
                    </a:ln>
                  </pic:spPr>
                </pic:pic>
              </a:graphicData>
            </a:graphic>
          </wp:inline>
        </w:drawing>
      </w:r>
      <w:bookmarkEnd w:id="40"/>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collectively a separate network from the main garden.</w:t>
      </w:r>
    </w:p>
    <w:bookmarkEnd w:id="41"/>
    <w:bookmarkStart w:id="42"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(NL240) or RF devices (RF407).</w:t>
      </w:r>
      <w:r>
        <w:t xml:space="preserve"> </w:t>
      </w:r>
      <w:r>
        <w:t xml:space="preserve">In early 2019, the existing RF407 radio devices were swapped out for NL240 Wi-Fi devices which improved range, reliability, data link speeds, and security.</w:t>
      </w:r>
      <w:r>
        <w:t xml:space="preserve"> </w:t>
      </w:r>
      <w:r>
        <w:t xml:space="preserve">Campbell Scientific LoggerNet software is used to remotely manage the data loggers, collect data every 3 hours, and identify issues that require on 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significant length of wire.</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300 foot length of SMP A in some cases.</w:t>
      </w:r>
      <w:r>
        <w:t xml:space="preserve"> </w:t>
      </w:r>
      <w:r>
        <w:t xml:space="preserve">Increased resistance is not compensated for by the CR6, so measurements made at temperatures different from the calibration temperature are subject to error.</w:t>
      </w:r>
    </w:p>
    <w:p>
      <w:pPr>
        <w:pStyle w:val="BodyText"/>
      </w:pPr>
      <w:r>
        <w:t xml:space="preserve">Serial sensor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 to 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2"/>
    <w:bookmarkEnd w:id="43"/>
    <w:bookmarkStart w:id="44"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3 RCP inlets during both historical rainfall records, and 2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the Blue Siren AV sensors are capable of measuring are possible, if not frequent depending on the shape and size of storm hydrographs at SMP A.</w:t>
      </w:r>
    </w:p>
    <w:p>
      <w:pPr>
        <w:pStyle w:val="BodyText"/>
      </w:pPr>
      <w:r>
        <w:t xml:space="preserve">Finally, the calibration procedure for existing Blue Siren AV sensors is both tricky to perform and subjective based on human error.</w:t>
      </w:r>
      <w:r>
        <w:t xml:space="preserve"> </w:t>
      </w:r>
      <w:r>
        <w:t xml:space="preserve">After removal from the steel band holding it inside the pipe, the sensor is submerged in one of two five-gallon buckets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p>
    <w:bookmarkEnd w:id="44"/>
    <w:bookmarkStart w:id="66" w:name="solutions"/>
    <w:p>
      <w:pPr>
        <w:pStyle w:val="Heading2"/>
      </w:pPr>
      <w:r>
        <w:t xml:space="preserve">Solutions</w:t>
      </w:r>
    </w:p>
    <w:bookmarkStart w:id="49" w:name="temporary-ramp"/>
    <w:p>
      <w:pPr>
        <w:pStyle w:val="Heading3"/>
      </w:pPr>
      <w:r>
        <w:t xml:space="preserve">Temporary Ramp</w:t>
      </w:r>
    </w:p>
    <w:p>
      <w:pPr>
        <w:pStyle w:val="FirstParagraph"/>
      </w:pPr>
      <w:r>
        <w:t xml:space="preserve">The addition of the 0.8-foot H-flume in June 2019 at the intersection of the temporary ramp and top of slope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was sourced from OpenChannelFlow in Boise, ID, and is sized based on preliminary output from Elizabeth Calt’s SWMM model using both design storms and historical rainfall data collected at the site through early 2019.</w:t>
      </w:r>
      <w:r>
        <w:t xml:space="preserve"> </w:t>
      </w:r>
      <w:r>
        <w:t xml:space="preserve">It has a 3 foot approach section, and two cylindrical measurement wells on either side of the pour point which are 150mm deep (Figure</w:t>
      </w:r>
      <w:r>
        <w:t xml:space="preserve"> </w:t>
      </w:r>
      <w:hyperlink w:anchor="fig:flume-drawing">
        <w:r>
          <w:rPr>
            <w:rStyle w:val="Hyperlink"/>
          </w:rPr>
          <w:t xml:space="preserve">2.9</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2.10</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46" w:name="fig:flume-drawing"/>
      <w:r>
        <w:drawing>
          <wp:inline>
            <wp:extent cx="5334000" cy="1978025"/>
            <wp:effectExtent b="0" l="0" r="0" t="0"/>
            <wp:docPr descr="0.8-foot OpenChannelFlow flume plan view."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45"/>
                    <a:stretch>
                      <a:fillRect/>
                    </a:stretch>
                  </pic:blipFill>
                  <pic:spPr bwMode="auto">
                    <a:xfrm>
                      <a:off x="0" y="0"/>
                      <a:ext cx="5334000" cy="1978025"/>
                    </a:xfrm>
                    <a:prstGeom prst="rect">
                      <a:avLst/>
                    </a:prstGeom>
                    <a:noFill/>
                    <a:ln w="9525">
                      <a:noFill/>
                      <a:headEnd/>
                      <a:tailEnd/>
                    </a:ln>
                  </pic:spPr>
                </pic:pic>
              </a:graphicData>
            </a:graphic>
          </wp:inline>
        </w:drawing>
      </w:r>
      <w:bookmarkEnd w:id="46"/>
    </w:p>
    <w:p>
      <w:pPr>
        <w:pStyle w:val="ImageCaption"/>
      </w:pPr>
      <w:r>
        <w:t xml:space="preserve">0.8-foot OpenChannelFlow flume plan view.</w:t>
      </w:r>
    </w:p>
    <w:p>
      <w:pPr>
        <w:pStyle w:val="CaptionedFigure"/>
      </w:pPr>
      <w:bookmarkStart w:id="48"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bookmarkEnd w:id="48"/>
    </w:p>
    <w:p>
      <w:pPr>
        <w:pStyle w:val="ImageCaption"/>
      </w:pPr>
      <w:r>
        <w:t xml:space="preserve">Flume installation at the bottom of construction ramp, 2019.</w:t>
      </w:r>
    </w:p>
    <w:bookmarkEnd w:id="49"/>
    <w:bookmarkStart w:id="60"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an 18" corrugated plastic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2.11</w:t>
        </w:r>
      </w:hyperlink>
      <w:r>
        <w:t xml:space="preserve">) that the AV sensors are not valid below 1 inch depth and 1.25 inch/second velocity, which equates to 0.1 Liters/second in an 18 inch pipe (N9, N10) or 0.14 Liters/second in an 30 inch pipe (N8).</w:t>
      </w:r>
      <w:r>
        <w:t xml:space="preserve"> </w:t>
      </w:r>
      <w:r>
        <w:t xml:space="preserve">A second Blue Siren system consisting of an Ultrasonic depth sensor mounted to the top of the pipe combined with a "microvelocity" sensor that has a much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2.11</w:t>
        </w:r>
      </w:hyperlink>
      <w:r>
        <w:t xml:space="preserve"> </w:t>
      </w:r>
      <w:r>
        <w:t xml:space="preserve">compares the two Area-Velocity measurement methods, with the insert at right showing both systems measuring significantly lower than the reference flow rate below</w:t>
      </w:r>
    </w:p>
    <w:p>
      <w:pPr>
        <w:pStyle w:val="CaptionedFigure"/>
      </w:pPr>
      <w:bookmarkStart w:id="51"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0"/>
                    <a:stretch>
                      <a:fillRect/>
                    </a:stretch>
                  </pic:blipFill>
                  <pic:spPr bwMode="auto">
                    <a:xfrm>
                      <a:off x="0" y="0"/>
                      <a:ext cx="5334000" cy="2357906"/>
                    </a:xfrm>
                    <a:prstGeom prst="rect">
                      <a:avLst/>
                    </a:prstGeom>
                    <a:noFill/>
                    <a:ln w="9525">
                      <a:noFill/>
                      <a:headEnd/>
                      <a:tailEnd/>
                    </a:ln>
                  </pic:spPr>
                </pic:pic>
              </a:graphicData>
            </a:graphic>
          </wp:inline>
        </w:drawing>
      </w:r>
      <w:bookmarkEnd w:id="51"/>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4 inch PVC pipe (Figure</w:t>
      </w:r>
      <w:r>
        <w:t xml:space="preserve"> </w:t>
      </w:r>
      <w:hyperlink w:anchor="fig:low-flow-setup">
        <w:r>
          <w:rPr>
            <w:rStyle w:val="Hyperlink"/>
          </w:rPr>
          <w:t xml:space="preserve">2.12</w:t>
        </w:r>
      </w:hyperlink>
      <w:r>
        <w:t xml:space="preserve">), which will sit at the outlet of a catch basin small enough to fit under the pour point of the RCP inlets (Figure</w:t>
      </w:r>
      <w:r>
        <w:t xml:space="preserve"> </w:t>
      </w:r>
      <w:hyperlink w:anchor="fig:low-flow-install">
        <w:r>
          <w:rPr>
            <w:rStyle w:val="Hyperlink"/>
          </w:rPr>
          <w:t xml:space="preserve">2.13</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53"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52"/>
                    <a:stretch>
                      <a:fillRect/>
                    </a:stretch>
                  </pic:blipFill>
                  <pic:spPr bwMode="auto">
                    <a:xfrm>
                      <a:off x="0" y="0"/>
                      <a:ext cx="5334000" cy="1740370"/>
                    </a:xfrm>
                    <a:prstGeom prst="rect">
                      <a:avLst/>
                    </a:prstGeom>
                    <a:noFill/>
                    <a:ln w="9525">
                      <a:noFill/>
                      <a:headEnd/>
                      <a:tailEnd/>
                    </a:ln>
                  </pic:spPr>
                </pic:pic>
              </a:graphicData>
            </a:graphic>
          </wp:inline>
        </w:drawing>
      </w:r>
      <w:bookmarkEnd w:id="53"/>
    </w:p>
    <w:p>
      <w:pPr>
        <w:pStyle w:val="ImageCaption"/>
      </w:pPr>
      <w:r>
        <w:t xml:space="preserve">(Left) Low flow measurement setup prototype being constructed in the lab. (Right) Cutaway section of the device outlet.</w:t>
      </w:r>
    </w:p>
    <w:p>
      <w:pPr>
        <w:pStyle w:val="CaptionedFigure"/>
      </w:pPr>
      <w:bookmarkStart w:id="55"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54"/>
                    <a:stretch>
                      <a:fillRect/>
                    </a:stretch>
                  </pic:blipFill>
                  <pic:spPr bwMode="auto">
                    <a:xfrm>
                      <a:off x="0" y="0"/>
                      <a:ext cx="5334000" cy="2400763"/>
                    </a:xfrm>
                    <a:prstGeom prst="rect">
                      <a:avLst/>
                    </a:prstGeom>
                    <a:noFill/>
                    <a:ln w="9525">
                      <a:noFill/>
                      <a:headEnd/>
                      <a:tailEnd/>
                    </a:ln>
                  </pic:spPr>
                </pic:pic>
              </a:graphicData>
            </a:graphic>
          </wp:inline>
        </w:drawing>
      </w:r>
      <w:bookmarkEnd w:id="55"/>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2.14</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2.15</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catch basin design, or poor capture efficiency at the pour point into the garden, it is evident that the system needs further tuning.</w:t>
      </w:r>
    </w:p>
    <w:p>
      <w:pPr>
        <w:pStyle w:val="CaptionedFigure"/>
      </w:pPr>
      <w:bookmarkStart w:id="57" w:name="fig:low-flow-splashing"/>
      <w:r>
        <w:drawing>
          <wp:inline>
            <wp:extent cx="2667000" cy="3086100"/>
            <wp:effectExtent b="0" l="0" r="0" t="0"/>
            <wp:docPr descr="Splashing at N9 low flow installation."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56"/>
                    <a:stretch>
                      <a:fillRect/>
                    </a:stretch>
                  </pic:blipFill>
                  <pic:spPr bwMode="auto">
                    <a:xfrm>
                      <a:off x="0" y="0"/>
                      <a:ext cx="2667000" cy="3086100"/>
                    </a:xfrm>
                    <a:prstGeom prst="rect">
                      <a:avLst/>
                    </a:prstGeom>
                    <a:noFill/>
                    <a:ln w="9525">
                      <a:noFill/>
                      <a:headEnd/>
                      <a:tailEnd/>
                    </a:ln>
                  </pic:spPr>
                </pic:pic>
              </a:graphicData>
            </a:graphic>
          </wp:inline>
        </w:drawing>
      </w:r>
      <w:bookmarkEnd w:id="57"/>
    </w:p>
    <w:p>
      <w:pPr>
        <w:pStyle w:val="ImageCaption"/>
      </w:pPr>
      <w:r>
        <w:t xml:space="preserve">Splashing at N9 low flow installation.</w:t>
      </w:r>
    </w:p>
    <w:p>
      <w:pPr>
        <w:pStyle w:val="CaptionedFigure"/>
      </w:pPr>
      <w:bookmarkStart w:id="59"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58"/>
                    <a:stretch>
                      <a:fillRect/>
                    </a:stretch>
                  </pic:blipFill>
                  <pic:spPr bwMode="auto">
                    <a:xfrm>
                      <a:off x="0" y="0"/>
                      <a:ext cx="5334000" cy="3291840"/>
                    </a:xfrm>
                    <a:prstGeom prst="rect">
                      <a:avLst/>
                    </a:prstGeom>
                    <a:noFill/>
                    <a:ln w="9525">
                      <a:noFill/>
                      <a:headEnd/>
                      <a:tailEnd/>
                    </a:ln>
                  </pic:spPr>
                </pic:pic>
              </a:graphicData>
            </a:graphic>
          </wp:inline>
        </w:drawing>
      </w:r>
      <w:bookmarkEnd w:id="59"/>
    </w:p>
    <w:p>
      <w:pPr>
        <w:pStyle w:val="ImageCaption"/>
      </w:pPr>
      <w:r>
        <w:t xml:space="preserve">N9 low flow data for 47mm storm event</w:t>
      </w:r>
    </w:p>
    <w:bookmarkEnd w:id="60"/>
    <w:bookmarkStart w:id="65"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2.16</w:t>
        </w:r>
      </w:hyperlink>
      <w:r>
        <w:t xml:space="preserve">) indicate that this system will be sufficiently accurate in combination with the aforementioned low flow system due to their overlap in flow range, shown in orange.</w:t>
      </w:r>
    </w:p>
    <w:p>
      <w:pPr>
        <w:pStyle w:val="CaptionedFigure"/>
      </w:pPr>
      <w:bookmarkStart w:id="62"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1"/>
                    <a:stretch>
                      <a:fillRect/>
                    </a:stretch>
                  </pic:blipFill>
                  <pic:spPr bwMode="auto">
                    <a:xfrm>
                      <a:off x="0" y="0"/>
                      <a:ext cx="5334000" cy="3291087"/>
                    </a:xfrm>
                    <a:prstGeom prst="rect">
                      <a:avLst/>
                    </a:prstGeom>
                    <a:noFill/>
                    <a:ln w="9525">
                      <a:noFill/>
                      <a:headEnd/>
                      <a:tailEnd/>
                    </a:ln>
                  </pic:spPr>
                </pic:pic>
              </a:graphicData>
            </a:graphic>
          </wp:inline>
        </w:drawing>
      </w:r>
      <w:bookmarkEnd w:id="62"/>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gradually varied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2.17</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64"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63"/>
                    <a:stretch>
                      <a:fillRect/>
                    </a:stretch>
                  </pic:blipFill>
                  <pic:spPr bwMode="auto">
                    <a:xfrm>
                      <a:off x="0" y="0"/>
                      <a:ext cx="5334000" cy="3550785"/>
                    </a:xfrm>
                    <a:prstGeom prst="rect">
                      <a:avLst/>
                    </a:prstGeom>
                    <a:noFill/>
                    <a:ln w="9525">
                      <a:noFill/>
                      <a:headEnd/>
                      <a:tailEnd/>
                    </a:ln>
                  </pic:spPr>
                </pic:pic>
              </a:graphicData>
            </a:graphic>
          </wp:inline>
        </w:drawing>
      </w:r>
      <w:bookmarkEnd w:id="64"/>
    </w:p>
    <w:p>
      <w:pPr>
        <w:pStyle w:val="ImageCaption"/>
      </w:pPr>
      <w:r>
        <w:t xml:space="preserve">Vegetronix SDI-12 Analog Sensor Translator.</w:t>
      </w:r>
    </w:p>
    <w:bookmarkEnd w:id="65"/>
    <w:bookmarkEnd w:id="66"/>
    <w:bookmarkStart w:id="67"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 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67"/>
    <w:bookmarkEnd w:id="68"/>
    <w:bookmarkStart w:id="77" w:name="sec:data-storage"/>
    <w:p>
      <w:pPr>
        <w:pStyle w:val="Heading1"/>
      </w:pPr>
      <w:r>
        <w:t xml:space="preserve">Robust Data Storage</w:t>
      </w:r>
    </w:p>
    <w:bookmarkStart w:id="69" w:name="background-1"/>
    <w:p>
      <w:pPr>
        <w:pStyle w:val="Heading2"/>
      </w:pPr>
      <w:r>
        <w:t xml:space="preserve">Background</w:t>
      </w:r>
    </w:p>
    <w:bookmarkEnd w:id="69"/>
    <w:bookmarkStart w:id="72" w:name="vcrws-idm"/>
    <w:p>
      <w:pPr>
        <w:pStyle w:val="Heading2"/>
      </w:pPr>
      <w:r>
        <w:t xml:space="preserve">VCRWS IDM</w:t>
      </w:r>
    </w:p>
    <w:bookmarkStart w:id="70" w:name="X9c2154085b45150da29828a46e11d1d92c2e234"/>
    <w:p>
      <w:pPr>
        <w:pStyle w:val="Heading3"/>
      </w:pPr>
      <w:r>
        <w:t xml:space="preserve">Metadata Standardization and Data Formatting</w:t>
      </w:r>
    </w:p>
    <w:bookmarkEnd w:id="70"/>
    <w:bookmarkStart w:id="71" w:name="query-performance"/>
    <w:p>
      <w:pPr>
        <w:pStyle w:val="Heading3"/>
      </w:pPr>
      <w:r>
        <w:t xml:space="preserve">Query Performance</w:t>
      </w:r>
    </w:p>
    <w:bookmarkEnd w:id="71"/>
    <w:bookmarkEnd w:id="72"/>
    <w:bookmarkStart w:id="75" w:name="next-steps"/>
    <w:p>
      <w:pPr>
        <w:pStyle w:val="Heading2"/>
      </w:pPr>
      <w:r>
        <w:t xml:space="preserve">Next Steps</w:t>
      </w:r>
    </w:p>
    <w:bookmarkStart w:id="73" w:name="streaming-data-ingest"/>
    <w:p>
      <w:pPr>
        <w:pStyle w:val="Heading3"/>
      </w:pPr>
      <w:r>
        <w:t xml:space="preserve">Streaming Data Ingest</w:t>
      </w:r>
    </w:p>
    <w:bookmarkEnd w:id="73"/>
    <w:bookmarkStart w:id="74" w:name="programmatic-data-retrieval"/>
    <w:p>
      <w:pPr>
        <w:pStyle w:val="Heading3"/>
      </w:pPr>
      <w:r>
        <w:t xml:space="preserve">Programmatic Data Retrieval</w:t>
      </w:r>
    </w:p>
    <w:bookmarkEnd w:id="74"/>
    <w:bookmarkEnd w:id="75"/>
    <w:bookmarkStart w:id="76" w:name="conclusions-1"/>
    <w:p>
      <w:pPr>
        <w:pStyle w:val="Heading2"/>
      </w:pPr>
      <w:r>
        <w:t xml:space="preserve">Conclusions</w:t>
      </w:r>
    </w:p>
    <w:bookmarkEnd w:id="76"/>
    <w:bookmarkEnd w:id="77"/>
    <w:bookmarkStart w:id="128" w:name="sec:data-analysis"/>
    <w:p>
      <w:pPr>
        <w:pStyle w:val="Heading1"/>
      </w:pPr>
      <w:r>
        <w:t xml:space="preserve">Performance Driven Data Analysis</w:t>
      </w:r>
    </w:p>
    <w:bookmarkStart w:id="80"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w:t>
      </w:r>
      <w:r>
        <w:t xml:space="preserve"> </w:t>
      </w:r>
      <w:r>
        <w:t xml:space="preserve">There are many reasons for this lack of consistency, but much of it stems from the inconsistency of storm events to which GSI systems are subjected, with a wide range of possible precipitation volumes and intensities producing an equally wide variety of responses by these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While many states, including Pennsylvania (</w:t>
      </w:r>
      <w:r>
        <w:t xml:space="preserve">(Department of Environmental Protection 2006)</w:t>
      </w:r>
      <w:r>
        <w:t xml:space="preserve">), meet NPDES requirements demanding designs that consider the pre-construction site conditions or require a site to mimic the otherwise pre-anthropogenic environment’s hydrology at the site, most do not include a post-construction monitoring plan or extend the NPDES with criteria more specific to and suitable for the local environment.</w:t>
      </w:r>
    </w:p>
    <w:p>
      <w:pPr>
        <w:pStyle w:val="BodyText"/>
      </w:pPr>
      <w:r>
        <w:t xml:space="preserve">Additionally, there are few well-defined and agreed upon performance metrics that can be used to quantify a GSI’s response to storm events over its lifespan.</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w:t>
      </w:r>
      <w:r>
        <w:t xml:space="preserve"> </w:t>
      </w:r>
      <w:r>
        <w:t xml:space="preserve">Longer-term, whole-system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creating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w:t>
      </w:r>
      <w:r>
        <w:t xml:space="preserve"> </w:t>
      </w:r>
      <w:r>
        <w:t xml:space="preserve">This chapter outlines proposed key performance indicators (KPI) unique to an infiltration-type rain garden GSI by looking at historical data for SMP A, located in PennDOT’s GR2 section of the I-95 Revive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 and is therefore also hypothesized to be a KPI for system health as it indicates capacity to store water below the soil’s surface.</w:t>
      </w:r>
      <w:r>
        <w:t xml:space="preserve"> </w:t>
      </w:r>
      <w:r>
        <w:t xml:space="preserve">This infiltration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 ’drying front’ similar to the ’wetting front’ seen at the beginning of saturation.</w:t>
      </w:r>
      <w:r>
        <w:t xml:space="preserve"> </w:t>
      </w:r>
      <w:r>
        <w:t xml:space="preserve">The following sections discuss the data collected at SMP A used to support these hypotheses, and show that recession rate and soil drying rate can be used as proxies for soil health and extended to overall GSI performance.</w:t>
      </w:r>
    </w:p>
    <w:p>
      <w:pPr>
        <w:pStyle w:val="CaptionedFigure"/>
      </w:pPr>
      <w:bookmarkStart w:id="79" w:name="fig:swcc-example"/>
      <w:r>
        <w:drawing>
          <wp:inline>
            <wp:extent cx="4352544" cy="2547518"/>
            <wp:effectExtent b="0" l="0" r="0" t="0"/>
            <wp:docPr descr="Example SWCC."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78"/>
                    <a:stretch>
                      <a:fillRect/>
                    </a:stretch>
                  </pic:blipFill>
                  <pic:spPr bwMode="auto">
                    <a:xfrm>
                      <a:off x="0" y="0"/>
                      <a:ext cx="4352544" cy="2547518"/>
                    </a:xfrm>
                    <a:prstGeom prst="rect">
                      <a:avLst/>
                    </a:prstGeom>
                    <a:noFill/>
                    <a:ln w="9525">
                      <a:noFill/>
                      <a:headEnd/>
                      <a:tailEnd/>
                    </a:ln>
                  </pic:spPr>
                </pic:pic>
              </a:graphicData>
            </a:graphic>
          </wp:inline>
        </w:drawing>
      </w:r>
      <w:bookmarkEnd w:id="79"/>
    </w:p>
    <w:p>
      <w:pPr>
        <w:pStyle w:val="ImageCaption"/>
      </w:pPr>
      <w:r>
        <w:t xml:space="preserve">Example SWCC.</w:t>
      </w:r>
    </w:p>
    <w:bookmarkEnd w:id="80"/>
    <w:bookmarkStart w:id="89" w:name="data-and-modeling"/>
    <w:p>
      <w:pPr>
        <w:pStyle w:val="Heading2"/>
      </w:pPr>
      <w:r>
        <w:t xml:space="preserve">Data and Modeling</w:t>
      </w:r>
    </w:p>
    <w:p>
      <w:pPr>
        <w:pStyle w:val="FirstParagraph"/>
      </w:pPr>
      <w:r>
        <w:t xml:space="preserve">Data collected is 5 minute averages of 1 minute records (values are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 namely ponding and soil moisture values.</w:t>
      </w:r>
    </w:p>
    <w:bookmarkStart w:id="87"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 ’standard,’ or ’normal’ storm event begins when rainfall is first recorded and continues until 6 hours after the last observed rainfall, as studies have shown storms separated by 6 or more hours to be meteorologically separate events (</w:t>
      </w:r>
      <w:r>
        <w:t xml:space="preserve">(Wadzuk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82"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81"/>
                    <a:stretch>
                      <a:fillRect/>
                    </a:stretch>
                  </pic:blipFill>
                  <pic:spPr bwMode="auto">
                    <a:xfrm>
                      <a:off x="0" y="0"/>
                      <a:ext cx="5334000" cy="3291840"/>
                    </a:xfrm>
                    <a:prstGeom prst="rect">
                      <a:avLst/>
                    </a:prstGeom>
                    <a:noFill/>
                    <a:ln w="9525">
                      <a:noFill/>
                      <a:headEnd/>
                      <a:tailEnd/>
                    </a:ln>
                  </pic:spPr>
                </pic:pic>
              </a:graphicData>
            </a:graphic>
          </wp:inline>
        </w:drawing>
      </w:r>
      <w:bookmarkEnd w:id="82"/>
    </w:p>
    <w:p>
      <w:pPr>
        <w:pStyle w:val="ImageCaption"/>
      </w:pPr>
      <w:r>
        <w:t xml:space="preserve">Distribution of event total rainfall depths.</w:t>
      </w:r>
    </w:p>
    <w:p>
      <w:pPr>
        <w:pStyle w:val="CaptionedFigure"/>
      </w:pPr>
      <w:bookmarkStart w:id="84"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83"/>
                    <a:stretch>
                      <a:fillRect/>
                    </a:stretch>
                  </pic:blipFill>
                  <pic:spPr bwMode="auto">
                    <a:xfrm>
                      <a:off x="0" y="0"/>
                      <a:ext cx="5334000" cy="3291840"/>
                    </a:xfrm>
                    <a:prstGeom prst="rect">
                      <a:avLst/>
                    </a:prstGeom>
                    <a:noFill/>
                    <a:ln w="9525">
                      <a:noFill/>
                      <a:headEnd/>
                      <a:tailEnd/>
                    </a:ln>
                  </pic:spPr>
                </pic:pic>
              </a:graphicData>
            </a:graphic>
          </wp:inline>
        </w:drawing>
      </w:r>
      <w:bookmarkEnd w:id="84"/>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86"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85"/>
                    <a:stretch>
                      <a:fillRect/>
                    </a:stretch>
                  </pic:blipFill>
                  <pic:spPr bwMode="auto">
                    <a:xfrm>
                      <a:off x="0" y="0"/>
                      <a:ext cx="5334000" cy="3291840"/>
                    </a:xfrm>
                    <a:prstGeom prst="rect">
                      <a:avLst/>
                    </a:prstGeom>
                    <a:noFill/>
                    <a:ln w="9525">
                      <a:noFill/>
                      <a:headEnd/>
                      <a:tailEnd/>
                    </a:ln>
                  </pic:spPr>
                </pic:pic>
              </a:graphicData>
            </a:graphic>
          </wp:inline>
        </w:drawing>
      </w:r>
      <w:bookmarkEnd w:id="86"/>
    </w:p>
    <w:p>
      <w:pPr>
        <w:pStyle w:val="ImageCaption"/>
      </w:pPr>
      <w:r>
        <w:t xml:space="preserve">Distribution of event ordinal dates.</w:t>
      </w:r>
    </w:p>
    <w:bookmarkEnd w:id="87"/>
    <w:bookmarkStart w:id="88"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8 characters generated from the first timestamp in the series.</w:t>
      </w:r>
      <w:r>
        <w:t xml:space="preserve"> </w:t>
      </w:r>
      <w:r>
        <w:t xml:space="preserve">The distribution of these specialized events is similar to that of the standard events above, although there are fewer of them due to the increased length of events capturing a greater share of rainfall per event.</w:t>
      </w:r>
    </w:p>
    <w:bookmarkEnd w:id="88"/>
    <w:bookmarkEnd w:id="89"/>
    <w:bookmarkStart w:id="96" w:name="key-performance-indicator-definitions"/>
    <w:p>
      <w:pPr>
        <w:pStyle w:val="Heading2"/>
      </w:pPr>
      <w:r>
        <w:t xml:space="preserve">Key Performance Indicator Definitions</w:t>
      </w:r>
    </w:p>
    <w:bookmarkStart w:id="90" w:name="recession-rate"/>
    <w:p>
      <w:pPr>
        <w:pStyle w:val="Heading3"/>
      </w:pPr>
      <w:r>
        <w:t xml:space="preserve">Recession Rate</w:t>
      </w:r>
    </w:p>
    <w:p>
      <w:pPr>
        <w:pStyle w:val="FirstParagraph"/>
      </w:pPr>
      <w:r>
        <w:t xml:space="preserve">Calculating a water level differential across consecutive data records identifies a change in water level that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infiltration.</w:t>
      </w:r>
      <w:r>
        <w:t xml:space="preserve"> </w:t>
      </w:r>
      <w:r>
        <w:t xml:space="preserve">Additionally, the current water level must be confirmed as being below the overflow point of any outlet structures to ensure, as much as possible, that the recession rate can be attributed solely to infiltration of water into the soil, as opposed to overflow to the CSS.</w:t>
      </w:r>
      <w:r>
        <w:t xml:space="preserve"> </w:t>
      </w:r>
      <w:r>
        <w:t xml:space="preserve">The magnitude of recession is important because it directly correlates to infiltration rate, which is governed by the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between the average recession of storms over long periods of time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last storm event, are important because these play the largest role in determining how the pre-storm state of the GSI will react to specific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means that the most consistent means of comparison will be between the most steady parts of a storm event once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Allowing the GSI to reach equilibrium means that comparisons will be made strictly between the soil’s infiltration performance, without the influence of a specific storm event’s timing characteristics.</w:t>
      </w:r>
      <w:r>
        <w:t xml:space="preserve"> </w:t>
      </w:r>
      <w:r>
        <w:t xml:space="preserve">Therefore, healthy performance in the context of recession is the rate at which the system begins reduces ponded volume and approaches recovery from saturation towards fully dry conditions.</w:t>
      </w:r>
      <w:r>
        <w:t xml:space="preserve"> </w:t>
      </w:r>
      <w:r>
        <w:t xml:space="preserve">Full infiltration of ponded water is required to be complete within 72 hours for systems in Philadelphia, but for the majority of storms it is completed within the 6 hour post-rainfall window used to define an event.</w:t>
      </w:r>
    </w:p>
    <w:bookmarkEnd w:id="90"/>
    <w:bookmarkStart w:id="95" w:name="infiltration-drying-rate"/>
    <w:p>
      <w:pPr>
        <w:pStyle w:val="Heading3"/>
      </w:pPr>
      <w:r>
        <w:t xml:space="preserve">Infiltration Drying Rate</w:t>
      </w:r>
    </w:p>
    <w:p>
      <w:pPr>
        <w:pStyle w:val="FirstParagraph"/>
      </w:pPr>
      <w:r>
        <w:t xml:space="preserve">Similar to the recession of water ponded on the surface of the garden, the recession of water within the soil column reflects the soil health of the site.</w:t>
      </w:r>
      <w:r>
        <w:t xml:space="preserve"> </w:t>
      </w:r>
      <w:r>
        <w:t xml:space="preserve">Using soil moisture probes at 10, 35, and 60 cm allows the calculation of an average rate of the descent of saturation conditions, or ’drying front’, as the soil begins to recover following ponding.</w:t>
      </w:r>
      <w:r>
        <w:t xml:space="preserve"> </w:t>
      </w:r>
      <w:r>
        <w:t xml:space="preserve">This subsurface drying rate should remain consistent between events of different sizes, so long as the soils reach saturation prior to the end of measurable ponding.</w:t>
      </w:r>
      <w:r>
        <w:t xml:space="preserve"> </w:t>
      </w:r>
      <w:r>
        <w:t xml:space="preserve">Measuring the soil moisture values for the duration of a storm event produces a curve that is typically shaped like that in Figure</w:t>
      </w:r>
      <w:r>
        <w:t xml:space="preserve"> </w:t>
      </w:r>
      <w:hyperlink w:anchor="fig:typ-soil-moisture">
        <w:r>
          <w:rPr>
            <w:rStyle w:val="Hyperlink"/>
          </w:rPr>
          <w:t xml:space="preserve">4.5</w:t>
        </w:r>
      </w:hyperlink>
      <w:r>
        <w:t xml:space="preserve">.</w:t>
      </w:r>
      <w:r>
        <w:t xml:space="preserve"> </w:t>
      </w:r>
      <w:r>
        <w:t xml:space="preserve">The soil moisture curve can typically be expected to respond with a sharp upward jump, 5-20 minutes in length, at the beginning of the storm event’s inflow when the wetting front passes each sensor and soil approaches full saturation.</w:t>
      </w:r>
      <w:r>
        <w:t xml:space="preserve"> </w:t>
      </w:r>
      <w:r>
        <w:t xml:space="preserve">This also coincides with a sharp drop in suction head, as the increased saturation reduces the soil’s ability to pull water in quickly.</w:t>
      </w:r>
      <w:r>
        <w:t xml:space="preserve"> </w:t>
      </w:r>
      <w:r>
        <w:t xml:space="preserve">The soil moisture curve has been characterized with a series of seven points in work completed by Matina Shakya, Ph.D. Candidate working on soil moisture measurements for VCRWS/PennDOT.</w:t>
      </w:r>
      <w:r>
        <w:t xml:space="preserve"> </w:t>
      </w:r>
      <w:r>
        <w:t xml:space="preserve">The following is based on the third point in this series.</w:t>
      </w:r>
      <w:r>
        <w:t xml:space="preserve"> </w:t>
      </w:r>
      <w:r>
        <w:t xml:space="preserve">The beginning and end of this positive jump are identified as points A and B, respectively.</w:t>
      </w:r>
      <w:r>
        <w:t xml:space="preserve"> </w:t>
      </w:r>
      <w:r>
        <w:t xml:space="preserve">Point A is typically below 0.40, or 40% volumetric water content (VWC), while point B and C are typically between 0.45 and 0.50, or 45-50% VWC.</w:t>
      </w:r>
      <w:r>
        <w:t xml:space="preserve"> </w:t>
      </w:r>
      <w:r>
        <w:t xml:space="preserve">Soil moisture levels remain at saturation conditions for the duration of ponding, due to continuous infiltration, eventually leading to recession of all ponded water.</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is expected to continue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Recession of the saturation conditions within the soil behave much like the initial wetting front, but in reverse as water continues to percolate downwards through the soil column.</w:t>
      </w:r>
      <w:r>
        <w:t xml:space="preserve"> </w:t>
      </w:r>
      <w:r>
        <w:t xml:space="preserve">The trailing limb of the saturation curve can be identified by two additional points, C and D in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is the subject of interest.</w:t>
      </w:r>
    </w:p>
    <w:p>
      <w:pPr>
        <w:pStyle w:val="CaptionedFigure"/>
      </w:pPr>
      <w:bookmarkStart w:id="92" w:name="fig:typ-soil-moisture"/>
      <w:r>
        <w:drawing>
          <wp:inline>
            <wp:extent cx="5334000" cy="3291840"/>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91"/>
                    <a:stretch>
                      <a:fillRect/>
                    </a:stretch>
                  </pic:blipFill>
                  <pic:spPr bwMode="auto">
                    <a:xfrm>
                      <a:off x="0" y="0"/>
                      <a:ext cx="5334000" cy="3291840"/>
                    </a:xfrm>
                    <a:prstGeom prst="rect">
                      <a:avLst/>
                    </a:prstGeom>
                    <a:noFill/>
                    <a:ln w="9525">
                      <a:noFill/>
                      <a:headEnd/>
                      <a:tailEnd/>
                    </a:ln>
                  </pic:spPr>
                </pic:pic>
              </a:graphicData>
            </a:graphic>
          </wp:inline>
        </w:drawing>
      </w:r>
      <w:bookmarkEnd w:id="92"/>
    </w:p>
    <w:p>
      <w:pPr>
        <w:pStyle w:val="ImageCaption"/>
      </w:pPr>
      <w:r>
        <w:t xml:space="preserve">Typical soil moisture curve. Vertical black lines denote points A, B, C, and D from left to right, respectively.</w:t>
      </w:r>
    </w:p>
    <w:p>
      <w:pPr>
        <w:pStyle w:val="CaptionedFigure"/>
      </w:pPr>
      <w:bookmarkStart w:id="94"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93"/>
                    <a:stretch>
                      <a:fillRect/>
                    </a:stretch>
                  </pic:blipFill>
                  <pic:spPr bwMode="auto">
                    <a:xfrm>
                      <a:off x="0" y="0"/>
                      <a:ext cx="5334000" cy="1802980"/>
                    </a:xfrm>
                    <a:prstGeom prst="rect">
                      <a:avLst/>
                    </a:prstGeom>
                    <a:noFill/>
                    <a:ln w="9525">
                      <a:noFill/>
                      <a:headEnd/>
                      <a:tailEnd/>
                    </a:ln>
                  </pic:spPr>
                </pic:pic>
              </a:graphicData>
            </a:graphic>
          </wp:inline>
        </w:drawing>
      </w:r>
      <w:bookmarkEnd w:id="94"/>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4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observations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 ‘findpeaks‘ function from the R package ‘pracma‘ (</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indices of the requested number of local maximums (4 in this case), which can be put in order with a simple sort.</w:t>
      </w:r>
      <w:r>
        <w:t xml:space="preserve"> </w:t>
      </w:r>
      <w:r>
        <w:t xml:space="preserve">Depending on the specific values of soil moisture seen during an event, the four indices may be returned in any order, largely based on the magnitude of difference between any two given points.</w:t>
      </w:r>
      <w:r>
        <w:t xml:space="preserve"> </w:t>
      </w:r>
      <w:r>
        <w:t xml:space="preserve">The basic premise only requires that the four points are properly identified, as they can be easily sorted to identify their correct placement.</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95"/>
    <w:bookmarkEnd w:id="96"/>
    <w:bookmarkStart w:id="126" w:name="results-and-discussion"/>
    <w:p>
      <w:pPr>
        <w:pStyle w:val="Heading2"/>
      </w:pPr>
      <w:r>
        <w:t xml:space="preserve">Results and Discussion</w:t>
      </w:r>
    </w:p>
    <w:bookmarkStart w:id="116" w:name="recession-rate-1"/>
    <w:p>
      <w:pPr>
        <w:pStyle w:val="Heading3"/>
      </w:pPr>
      <w:r>
        <w:t xml:space="preserve">Recession Rate</w:t>
      </w:r>
    </w:p>
    <w:bookmarkStart w:id="101"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water in which it is submerged.</w:t>
      </w:r>
      <w:r>
        <w:t xml:space="preserve"> </w:t>
      </w:r>
      <w:r>
        <w:t xml:space="preserve">The two types of temperature are highly correlated (Pearson correlation = 0.981)</w:t>
      </w:r>
      <w:r>
        <w:t xml:space="preserve"> </w:t>
      </w:r>
      <w:r>
        <w:t xml:space="preserve">For the purpose of this analysis, only water temperature will be considered since water is in direct contact with the soil it is infiltrating and displays some variance of viscosity and other properties at different temperatures.</w:t>
      </w:r>
      <w:r>
        <w:t xml:space="preserve"> </w:t>
      </w:r>
      <w:r>
        <w:t xml:space="preserve">Testing for variations in recession rate across the range of observed water temperatures shows a relationship that is linear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98"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97"/>
                    <a:stretch>
                      <a:fillRect/>
                    </a:stretch>
                  </pic:blipFill>
                  <pic:spPr bwMode="auto">
                    <a:xfrm>
                      <a:off x="0" y="0"/>
                      <a:ext cx="5334000" cy="3291840"/>
                    </a:xfrm>
                    <a:prstGeom prst="rect">
                      <a:avLst/>
                    </a:prstGeom>
                    <a:noFill/>
                    <a:ln w="9525">
                      <a:noFill/>
                      <a:headEnd/>
                      <a:tailEnd/>
                    </a:ln>
                  </pic:spPr>
                </pic:pic>
              </a:graphicData>
            </a:graphic>
          </wp:inline>
        </w:drawing>
      </w:r>
      <w:bookmarkEnd w:id="98"/>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bins (Figure</w:t>
      </w:r>
      <w:r>
        <w:t xml:space="preserve"> </w:t>
      </w:r>
      <w:hyperlink w:anchor="fig:temp-vs-recession-binned">
        <w:r>
          <w:rPr>
            <w:rStyle w:val="Hyperlink"/>
          </w:rPr>
          <w:t xml:space="preserve">4.8</w:t>
        </w:r>
      </w:hyperlink>
      <w:r>
        <w:t xml:space="preserve">).</w:t>
      </w:r>
      <w:r>
        <w:t xml:space="preserve"> </w:t>
      </w:r>
      <w:r>
        <w:t xml:space="preserve">The trend of higher observed recession rates at higher temperatures is clear, as the mean for each bin is higher than that of the previous bin.</w:t>
      </w:r>
      <w:r>
        <w:t xml:space="preserve"> </w:t>
      </w:r>
      <w:r>
        <w:t xml:space="preserve">Five bins were chosen to ensure the number of events per bin was at least 10 for most bins.</w:t>
      </w:r>
      <w:r>
        <w:t xml:space="preserve"> </w:t>
      </w:r>
      <w:r>
        <w:t xml:space="preserve">The lowest bin ((-0.05,5.83]) has only 7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 such that, since warmer soils contain warmer water, there is less internal resistance to flow by the soil at warmer temperatures.</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 where the effect of freeze-thaw cycling ends.</w:t>
      </w:r>
    </w:p>
    <w:p>
      <w:pPr>
        <w:pStyle w:val="CaptionedFigure"/>
      </w:pPr>
      <w:bookmarkStart w:id="100" w:name="fig:temp-vs-recession-binned"/>
      <w:r>
        <w:drawing>
          <wp:inline>
            <wp:extent cx="5334000" cy="3291840"/>
            <wp:effectExtent b="0" l="0" r="0" t="0"/>
            <wp:docPr descr="Average water temperature vs Recession Rate, separated into bins, n = number storm events per bin."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99"/>
                    <a:stretch>
                      <a:fillRect/>
                    </a:stretch>
                  </pic:blipFill>
                  <pic:spPr bwMode="auto">
                    <a:xfrm>
                      <a:off x="0" y="0"/>
                      <a:ext cx="5334000" cy="3291840"/>
                    </a:xfrm>
                    <a:prstGeom prst="rect">
                      <a:avLst/>
                    </a:prstGeom>
                    <a:noFill/>
                    <a:ln w="9525">
                      <a:noFill/>
                      <a:headEnd/>
                      <a:tailEnd/>
                    </a:ln>
                  </pic:spPr>
                </pic:pic>
              </a:graphicData>
            </a:graphic>
          </wp:inline>
        </w:drawing>
      </w:r>
      <w:bookmarkEnd w:id="100"/>
    </w:p>
    <w:p>
      <w:pPr>
        <w:pStyle w:val="ImageCaption"/>
      </w:pPr>
      <w:r>
        <w:t xml:space="preserve">Average water temperature vs Recession Rate, separated into bins, n = number storm events per bin.</w:t>
      </w:r>
    </w:p>
    <w:bookmarkEnd w:id="101"/>
    <w:bookmarkStart w:id="108" w:name="insignificant-relationships"/>
    <w:p>
      <w:pPr>
        <w:pStyle w:val="Heading4"/>
      </w:pPr>
      <w:r>
        <w:t xml:space="preserve">Insignificant Relationships</w:t>
      </w:r>
    </w:p>
    <w:p>
      <w:pPr>
        <w:pStyle w:val="FirstParagraph"/>
      </w:pPr>
      <w:r>
        <w:t xml:space="preserve">Both relative humidity (RH) and barometric pressure, both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similar to the approach taken in the previous temperature analysis,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03"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02"/>
                    <a:stretch>
                      <a:fillRect/>
                    </a:stretch>
                  </pic:blipFill>
                  <pic:spPr bwMode="auto">
                    <a:xfrm>
                      <a:off x="0" y="0"/>
                      <a:ext cx="5334000" cy="3291840"/>
                    </a:xfrm>
                    <a:prstGeom prst="rect">
                      <a:avLst/>
                    </a:prstGeom>
                    <a:noFill/>
                    <a:ln w="9525">
                      <a:noFill/>
                      <a:headEnd/>
                      <a:tailEnd/>
                    </a:ln>
                  </pic:spPr>
                </pic:pic>
              </a:graphicData>
            </a:graphic>
          </wp:inline>
        </w:drawing>
      </w:r>
      <w:bookmarkEnd w:id="103"/>
    </w:p>
    <w:p>
      <w:pPr>
        <w:pStyle w:val="ImageCaption"/>
      </w:pPr>
      <w:r>
        <w:t xml:space="preserve">Average Relative Humidity vs Recession Rate</w:t>
      </w:r>
    </w:p>
    <w:p>
      <w:pPr>
        <w:pStyle w:val="CaptionedFigure"/>
      </w:pPr>
      <w:bookmarkStart w:id="105"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04"/>
                    <a:stretch>
                      <a:fillRect/>
                    </a:stretch>
                  </pic:blipFill>
                  <pic:spPr bwMode="auto">
                    <a:xfrm>
                      <a:off x="0" y="0"/>
                      <a:ext cx="5334000" cy="3291840"/>
                    </a:xfrm>
                    <a:prstGeom prst="rect">
                      <a:avLst/>
                    </a:prstGeom>
                    <a:noFill/>
                    <a:ln w="9525">
                      <a:noFill/>
                      <a:headEnd/>
                      <a:tailEnd/>
                    </a:ln>
                  </pic:spPr>
                </pic:pic>
              </a:graphicData>
            </a:graphic>
          </wp:inline>
        </w:drawing>
      </w:r>
      <w:bookmarkEnd w:id="105"/>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07"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06"/>
                    <a:stretch>
                      <a:fillRect/>
                    </a:stretch>
                  </pic:blipFill>
                  <pic:spPr bwMode="auto">
                    <a:xfrm>
                      <a:off x="0" y="0"/>
                      <a:ext cx="5334000" cy="3291840"/>
                    </a:xfrm>
                    <a:prstGeom prst="rect">
                      <a:avLst/>
                    </a:prstGeom>
                    <a:noFill/>
                    <a:ln w="9525">
                      <a:noFill/>
                      <a:headEnd/>
                      <a:tailEnd/>
                    </a:ln>
                  </pic:spPr>
                </pic:pic>
              </a:graphicData>
            </a:graphic>
          </wp:inline>
        </w:drawing>
      </w:r>
      <w:bookmarkEnd w:id="107"/>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curved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08"/>
    <w:bookmarkStart w:id="115"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 the relationship for water temperature, pond depth, ponding duration, total rainfall, and average rainfall intensity with respect to ponding recession rate.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w:t>
      </w:r>
      <w:r>
        <w:t xml:space="preserve"> </w:t>
      </w:r>
      <w:r>
        <w:t xml:space="preserve">This is somewhat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09"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-0.238352</w:t>
            </w:r>
          </w:p>
        </w:tc>
        <w:tc>
          <w:p>
            <w:pPr>
              <w:pStyle w:val="Compact"/>
              <w:jc w:val="left"/>
            </w:pPr>
            <w:r>
              <w:t xml:space="preserve">0.085110</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-0.117213</w:t>
            </w:r>
          </w:p>
        </w:tc>
        <w:tc>
          <w:p>
            <w:pPr>
              <w:pStyle w:val="Compact"/>
              <w:jc w:val="left"/>
            </w:pPr>
            <w:r>
              <w:t xml:space="preserve">0.005684</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0.981035</w:t>
            </w:r>
          </w:p>
        </w:tc>
        <w:tc>
          <w:p>
            <w:pPr>
              <w:pStyle w:val="Compact"/>
              <w:jc w:val="left"/>
            </w:pPr>
            <w:r>
              <w:t xml:space="preserve">0.224939</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0.182069</w:t>
            </w:r>
          </w:p>
        </w:tc>
        <w:tc>
          <w:p>
            <w:pPr>
              <w:pStyle w:val="Compact"/>
              <w:jc w:val="left"/>
            </w:pPr>
            <w:r>
              <w:t xml:space="preserve">0.063980</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-0.377106</w:t>
            </w:r>
          </w:p>
        </w:tc>
        <w:tc>
          <w:p>
            <w:pPr>
              <w:pStyle w:val="Compact"/>
              <w:jc w:val="left"/>
            </w:pPr>
            <w:r>
              <w:t xml:space="preserve">0.110401</w:t>
            </w:r>
          </w:p>
        </w:tc>
        <w:tc>
          <w:p>
            <w:pPr>
              <w:pStyle w:val="Compact"/>
              <w:jc w:val="left"/>
            </w:pPr>
            <w:r>
              <w:t xml:space="preserve">-3.416</w:t>
            </w:r>
          </w:p>
        </w:tc>
        <w:tc>
          <w:p>
            <w:pPr>
              <w:pStyle w:val="Compact"/>
              <w:jc w:val="left"/>
            </w:pPr>
            <w:r>
              <w:t xml:space="preserve">0.000797</w:t>
            </w:r>
          </w:p>
        </w:tc>
      </w:tr>
    </w:tbl>
    <w:bookmarkEnd w:id="109"/>
    <w:p>
      <w:pPr>
        <w:pStyle w:val="BodyText"/>
      </w:pPr>
      <w:bookmarkStart w:id="110" w:name="table:pond-recession-regression"/>
      <w:r>
        <w:t xml:space="preserve">[table:pond-recession-regression]</w:t>
      </w:r>
      <w:bookmarkEnd w:id="110"/>
    </w:p>
    <w:p>
      <w:pPr>
        <w:pStyle w:val="BodyText"/>
      </w:pPr>
      <w:r>
        <w:t xml:space="preserve">$$\centering
	y = - \beta_1 * 0.2384 - \beta_2 * 0.11721 + \beta_3 * 0.98104 + \beta_4 * 0.1821 - \beta_5 * 0.3771
	\label{eq:pond-recession-regression}$$</w:t>
      </w:r>
    </w:p>
    <w:p>
      <w:pPr>
        <w:pStyle w:val="CaptionedFigure"/>
      </w:pPr>
      <w:bookmarkStart w:id="112"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11"/>
                    <a:stretch>
                      <a:fillRect/>
                    </a:stretch>
                  </pic:blipFill>
                  <pic:spPr bwMode="auto">
                    <a:xfrm>
                      <a:off x="0" y="0"/>
                      <a:ext cx="5334000" cy="3291840"/>
                    </a:xfrm>
                    <a:prstGeom prst="rect">
                      <a:avLst/>
                    </a:prstGeom>
                    <a:noFill/>
                    <a:ln w="9525">
                      <a:noFill/>
                      <a:headEnd/>
                      <a:tailEnd/>
                    </a:ln>
                  </pic:spPr>
                </pic:pic>
              </a:graphicData>
            </a:graphic>
          </wp:inline>
        </w:drawing>
      </w:r>
      <w:bookmarkEnd w:id="112"/>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13"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0.1226526</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0.9150601</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0.8294355</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0.5483617</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0.4102984</w:t>
            </w:r>
          </w:p>
        </w:tc>
        <w:tc>
          <w:p>
            <w:pPr>
              <w:pStyle w:val="Compact"/>
              <w:jc w:val="left"/>
            </w:pPr>
            <m:oMath>
              <m:r>
                <m:rPr>
                  <m:sty m:val="p"/>
                </m:rPr>
                <m:t>&lt;</m:t>
              </m:r>
            </m:oMath>
            <w:r>
              <w:t xml:space="preserve">2.2e-16</w:t>
            </w:r>
          </w:p>
        </w:tc>
      </w:tr>
    </w:tbl>
    <w:bookmarkEnd w:id="113"/>
    <w:p>
      <w:pPr>
        <w:pStyle w:val="BodyText"/>
      </w:pPr>
      <w:bookmarkStart w:id="114" w:name="table:kendall-test-results"/>
      <w:r>
        <w:t xml:space="preserve">[table:kendall-test-results]</w:t>
      </w:r>
      <w:bookmarkEnd w:id="114"/>
    </w:p>
    <w:bookmarkEnd w:id="115"/>
    <w:bookmarkEnd w:id="116"/>
    <w:bookmarkStart w:id="125"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w:t>
      </w:r>
      <w:r>
        <w:t xml:space="preserve"> </w:t>
      </w:r>
      <w:r>
        <w:t xml:space="preserve">For each event, the rate of drying for the 3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higher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CaptionedFigure"/>
      </w:pPr>
      <w:bookmarkStart w:id="118" w:name="fig:drying-rate-pond-10"/>
      <w:r>
        <w:drawing>
          <wp:inline>
            <wp:extent cx="5334000" cy="3291840"/>
            <wp:effectExtent b="0" l="0" r="0" t="0"/>
            <wp:docPr descr="Time to Desaturation between end of ponding and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17"/>
                    <a:stretch>
                      <a:fillRect/>
                    </a:stretch>
                  </pic:blipFill>
                  <pic:spPr bwMode="auto">
                    <a:xfrm>
                      <a:off x="0" y="0"/>
                      <a:ext cx="5334000" cy="3291840"/>
                    </a:xfrm>
                    <a:prstGeom prst="rect">
                      <a:avLst/>
                    </a:prstGeom>
                    <a:noFill/>
                    <a:ln w="9525">
                      <a:noFill/>
                      <a:headEnd/>
                      <a:tailEnd/>
                    </a:ln>
                  </pic:spPr>
                </pic:pic>
              </a:graphicData>
            </a:graphic>
          </wp:inline>
        </w:drawing>
      </w:r>
      <w:bookmarkEnd w:id="118"/>
    </w:p>
    <w:p>
      <w:pPr>
        <w:pStyle w:val="ImageCaption"/>
      </w:pPr>
      <w:r>
        <w:t xml:space="preserve">Time to Desaturation between end of ponding and 10cm.</w:t>
      </w:r>
    </w:p>
    <w:p>
      <w:pPr>
        <w:pStyle w:val="CaptionedFigure"/>
      </w:pPr>
      <w:bookmarkStart w:id="120" w:name="fig:drying-rate-10-35"/>
      <w:r>
        <w:drawing>
          <wp:inline>
            <wp:extent cx="5334000" cy="3291840"/>
            <wp:effectExtent b="0" l="0" r="0" t="0"/>
            <wp:docPr descr="Time to Desaturation between 10 and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19"/>
                    <a:stretch>
                      <a:fillRect/>
                    </a:stretch>
                  </pic:blipFill>
                  <pic:spPr bwMode="auto">
                    <a:xfrm>
                      <a:off x="0" y="0"/>
                      <a:ext cx="5334000" cy="3291840"/>
                    </a:xfrm>
                    <a:prstGeom prst="rect">
                      <a:avLst/>
                    </a:prstGeom>
                    <a:noFill/>
                    <a:ln w="9525">
                      <a:noFill/>
                      <a:headEnd/>
                      <a:tailEnd/>
                    </a:ln>
                  </pic:spPr>
                </pic:pic>
              </a:graphicData>
            </a:graphic>
          </wp:inline>
        </w:drawing>
      </w:r>
      <w:bookmarkEnd w:id="120"/>
    </w:p>
    <w:p>
      <w:pPr>
        <w:pStyle w:val="ImageCaption"/>
      </w:pPr>
      <w:r>
        <w:t xml:space="preserve">Time to Desaturation between 10 and 35cm.</w:t>
      </w:r>
    </w:p>
    <w:p>
      <w:pPr>
        <w:pStyle w:val="CaptionedFigure"/>
      </w:pPr>
      <w:bookmarkStart w:id="122" w:name="fig:drying-rate-35-60"/>
      <w:r>
        <w:drawing>
          <wp:inline>
            <wp:extent cx="5334000" cy="3291840"/>
            <wp:effectExtent b="0" l="0" r="0" t="0"/>
            <wp:docPr descr="Time to Desaturation between 35 and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21"/>
                    <a:stretch>
                      <a:fillRect/>
                    </a:stretch>
                  </pic:blipFill>
                  <pic:spPr bwMode="auto">
                    <a:xfrm>
                      <a:off x="0" y="0"/>
                      <a:ext cx="5334000" cy="3291840"/>
                    </a:xfrm>
                    <a:prstGeom prst="rect">
                      <a:avLst/>
                    </a:prstGeom>
                    <a:noFill/>
                    <a:ln w="9525">
                      <a:noFill/>
                      <a:headEnd/>
                      <a:tailEnd/>
                    </a:ln>
                  </pic:spPr>
                </pic:pic>
              </a:graphicData>
            </a:graphic>
          </wp:inline>
        </w:drawing>
      </w:r>
      <w:bookmarkEnd w:id="122"/>
    </w:p>
    <w:p>
      <w:pPr>
        <w:pStyle w:val="ImageCaption"/>
      </w:pPr>
      <w:r>
        <w:t xml:space="preserve">Time to Desaturation between 35 and 60cm.</w:t>
      </w:r>
    </w:p>
    <w:p>
      <w:pPr>
        <w:pStyle w:val="CaptionedFigure"/>
      </w:pPr>
      <w:bookmarkStart w:id="124" w:name="fig:drying-rate-vs-time"/>
      <w:r>
        <w:drawing>
          <wp:inline>
            <wp:extent cx="5334000" cy="3291840"/>
            <wp:effectExtent b="0" l="0" r="0" t="0"/>
            <wp:docPr descr="Event Date vs Drying Time between 10 and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23"/>
                    <a:stretch>
                      <a:fillRect/>
                    </a:stretch>
                  </pic:blipFill>
                  <pic:spPr bwMode="auto">
                    <a:xfrm>
                      <a:off x="0" y="0"/>
                      <a:ext cx="5334000" cy="3291840"/>
                    </a:xfrm>
                    <a:prstGeom prst="rect">
                      <a:avLst/>
                    </a:prstGeom>
                    <a:noFill/>
                    <a:ln w="9525">
                      <a:noFill/>
                      <a:headEnd/>
                      <a:tailEnd/>
                    </a:ln>
                  </pic:spPr>
                </pic:pic>
              </a:graphicData>
            </a:graphic>
          </wp:inline>
        </w:drawing>
      </w:r>
      <w:bookmarkEnd w:id="124"/>
    </w:p>
    <w:p>
      <w:pPr>
        <w:pStyle w:val="ImageCaption"/>
      </w:pPr>
      <w:r>
        <w:t xml:space="preserve">Event Date vs Drying Time between 10 and 35cm.</w:t>
      </w:r>
    </w:p>
    <w:p>
      <w:pPr>
        <w:pStyle w:val="BodyText"/>
      </w:pPr>
      <w:r>
        <w:t xml:space="preserve">Infiltration drying rate compares favorably to Saturo constant-head infiltration testing performed at the site across three growing seasons.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25"/>
    <w:bookmarkEnd w:id="126"/>
    <w:bookmarkStart w:id="127"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better preparation for the next storm.</w:t>
      </w:r>
    </w:p>
    <w:p>
      <w:pPr>
        <w:pStyle w:val="BodyText"/>
      </w:pPr>
      <w:r>
        <w:t xml:space="preserve">In general, average infiltration rates between 40 and 120 mm/hr can be expected, depending on time of year and water temperature.</w:t>
      </w:r>
      <w:r>
        <w:t xml:space="preserve"> </w:t>
      </w:r>
      <w:r>
        <w:t xml:space="preserve">Average drying rates centered around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bookmarkEnd w:id="127"/>
    <w:bookmarkEnd w:id="128"/>
    <w:bookmarkStart w:id="185" w:name="sec:conclusion"/>
    <w:p>
      <w:pPr>
        <w:pStyle w:val="Heading1"/>
      </w:pPr>
      <w:r>
        <w:t xml:space="preserve">Conclusion</w:t>
      </w:r>
    </w:p>
    <w:p>
      <w:pPr>
        <w:pStyle w:val="FirstParagraph"/>
      </w:pPr>
      <w:r>
        <w:t xml:space="preserve"> </w:t>
      </w:r>
    </w:p>
    <w:bookmarkStart w:id="184" w:name="refs"/>
    <w:bookmarkStart w:id="130"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29">
        <w:r>
          <w:rPr>
            <w:rStyle w:val="Hyperlink"/>
          </w:rPr>
          <w:t xml:space="preserve">http://www.utd.edu/</w:t>
        </w:r>
      </w:hyperlink>
      <w:r>
        <w:t xml:space="preserve">.</w:t>
      </w:r>
    </w:p>
    <w:bookmarkEnd w:id="130"/>
    <w:bookmarkStart w:id="132"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31">
        <w:r>
          <w:rPr>
            <w:rStyle w:val="Hyperlink"/>
          </w:rPr>
          <w:t xml:space="preserve">https://doi.org/doi:10.1061/9780784479162.020</w:t>
        </w:r>
      </w:hyperlink>
      <w:r>
        <w:t xml:space="preserve">.</w:t>
      </w:r>
    </w:p>
    <w:bookmarkEnd w:id="132"/>
    <w:bookmarkStart w:id="134"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33">
        <w:r>
          <w:rPr>
            <w:rStyle w:val="Hyperlink"/>
          </w:rPr>
          <w:t xml:space="preserve">https://doi.org/10.1175/JAMC-D-17-0267.1</w:t>
        </w:r>
      </w:hyperlink>
      <w:r>
        <w:t xml:space="preserve">.</w:t>
      </w:r>
    </w:p>
    <w:bookmarkEnd w:id="134"/>
    <w:bookmarkStart w:id="136"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35">
        <w:r>
          <w:rPr>
            <w:rStyle w:val="Hyperlink"/>
          </w:rPr>
          <w:t xml:space="preserve">https://doi.org/10.1006/jaer.1999.0415</w:t>
        </w:r>
      </w:hyperlink>
      <w:r>
        <w:t xml:space="preserve">.</w:t>
      </w:r>
    </w:p>
    <w:bookmarkEnd w:id="136"/>
    <w:bookmarkStart w:id="138"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37">
        <w:r>
          <w:rPr>
            <w:rStyle w:val="Hyperlink"/>
          </w:rPr>
          <w:t xml:space="preserve">https://doi.org/10.2134/jeq2008.0117</w:t>
        </w:r>
      </w:hyperlink>
      <w:r>
        <w:t xml:space="preserve">.</w:t>
      </w:r>
    </w:p>
    <w:bookmarkEnd w:id="138"/>
    <w:bookmarkStart w:id="140"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39">
        <w:r>
          <w:rPr>
            <w:rStyle w:val="Hyperlink"/>
          </w:rPr>
          <w:t xml:space="preserve">https://doi.org/10.1061/(ASCE)CP.1943-5487.0000290</w:t>
        </w:r>
      </w:hyperlink>
      <w:r>
        <w:t xml:space="preserve">.</w:t>
      </w:r>
    </w:p>
    <w:bookmarkEnd w:id="140"/>
    <w:bookmarkStart w:id="142"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41">
        <w:r>
          <w:rPr>
            <w:rStyle w:val="Hyperlink"/>
          </w:rPr>
          <w:t xml:space="preserve">https://doi.org/10.1061/9780784482360.019</w:t>
        </w:r>
      </w:hyperlink>
      <w:r>
        <w:t xml:space="preserve">.</w:t>
      </w:r>
    </w:p>
    <w:bookmarkEnd w:id="142"/>
    <w:bookmarkStart w:id="143"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43"/>
    <w:bookmarkStart w:id="145"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44">
        <w:r>
          <w:rPr>
            <w:rStyle w:val="Hyperlink"/>
          </w:rPr>
          <w:t xml:space="preserve">https://doi.org/10.1061/(asce)0733-9372(2009)135:3(109)</w:t>
        </w:r>
      </w:hyperlink>
      <w:r>
        <w:t xml:space="preserve">.</w:t>
      </w:r>
    </w:p>
    <w:bookmarkEnd w:id="145"/>
    <w:bookmarkStart w:id="146" w:name="ref-padep2006"/>
    <w:p>
      <w:pPr>
        <w:pStyle w:val="Bibliography"/>
      </w:pPr>
      <w:r>
        <w:t xml:space="preserve">Department of Environmental Protection. 2006.</w:t>
      </w:r>
      <w:r>
        <w:t xml:space="preserve"> </w:t>
      </w:r>
      <w:r>
        <w:t xml:space="preserve">“</w:t>
      </w:r>
      <w:r>
        <w:t xml:space="preserve">Pennsylvania Stormwater BMP Manual</w:t>
      </w:r>
      <w:r>
        <w:t xml:space="preserve">.”</w:t>
      </w:r>
    </w:p>
    <w:bookmarkEnd w:id="146"/>
    <w:bookmarkStart w:id="148"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47">
        <w:r>
          <w:rPr>
            <w:rStyle w:val="Hyperlink"/>
          </w:rPr>
          <w:t xml:space="preserve">https://doi.org/10.1007/978-1-4615-2027-6_52</w:t>
        </w:r>
      </w:hyperlink>
      <w:r>
        <w:t xml:space="preserve">.</w:t>
      </w:r>
    </w:p>
    <w:bookmarkEnd w:id="148"/>
    <w:bookmarkStart w:id="150"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49">
        <w:r>
          <w:rPr>
            <w:rStyle w:val="Hyperlink"/>
          </w:rPr>
          <w:t xml:space="preserve">https://doi.org/10.1061/(asce)0733-9437(2008)134:5(598)</w:t>
        </w:r>
      </w:hyperlink>
      <w:r>
        <w:t xml:space="preserve">.</w:t>
      </w:r>
    </w:p>
    <w:bookmarkEnd w:id="150"/>
    <w:bookmarkStart w:id="152"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51">
        <w:r>
          <w:rPr>
            <w:rStyle w:val="Hyperlink"/>
          </w:rPr>
          <w:t xml:space="preserve">https://doi.org/10.1016/j.jksues.2020.07.013</w:t>
        </w:r>
      </w:hyperlink>
      <w:r>
        <w:t xml:space="preserve">.</w:t>
      </w:r>
    </w:p>
    <w:bookmarkEnd w:id="152"/>
    <w:bookmarkStart w:id="153"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53"/>
    <w:bookmarkStart w:id="155"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54">
        <w:r>
          <w:rPr>
            <w:rStyle w:val="Hyperlink"/>
          </w:rPr>
          <w:t xml:space="preserve">https://doi.org/10.1061/9780784479889.013</w:t>
        </w:r>
      </w:hyperlink>
      <w:r>
        <w:t xml:space="preserve">.</w:t>
      </w:r>
    </w:p>
    <w:bookmarkEnd w:id="155"/>
    <w:bookmarkStart w:id="157"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56">
        <w:r>
          <w:rPr>
            <w:rStyle w:val="Hyperlink"/>
          </w:rPr>
          <w:t xml:space="preserve">https://doi.org/10.1016/B978-0-444-88286-8.50015-5</w:t>
        </w:r>
      </w:hyperlink>
      <w:r>
        <w:t xml:space="preserve">.</w:t>
      </w:r>
    </w:p>
    <w:bookmarkEnd w:id="157"/>
    <w:bookmarkStart w:id="159"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58">
        <w:r>
          <w:rPr>
            <w:rStyle w:val="Hyperlink"/>
          </w:rPr>
          <w:t xml:space="preserve">https://doi.org/10.1061/(asce)ir.1943-4774.0000264</w:t>
        </w:r>
      </w:hyperlink>
      <w:r>
        <w:t xml:space="preserve">.</w:t>
      </w:r>
    </w:p>
    <w:bookmarkEnd w:id="159"/>
    <w:bookmarkStart w:id="161"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60">
        <w:r>
          <w:rPr>
            <w:rStyle w:val="Hyperlink"/>
          </w:rPr>
          <w:t xml:space="preserve">https://doi.org/10.1007/s00267-020-01339-9</w:t>
        </w:r>
      </w:hyperlink>
      <w:r>
        <w:t xml:space="preserve">.</w:t>
      </w:r>
    </w:p>
    <w:bookmarkEnd w:id="161"/>
    <w:bookmarkStart w:id="163"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162">
        <w:r>
          <w:rPr>
            <w:rStyle w:val="Hyperlink"/>
          </w:rPr>
          <w:t xml:space="preserve">https://doi.org/10.1061/(asce)ir.1943-4774.0000184</w:t>
        </w:r>
      </w:hyperlink>
      <w:r>
        <w:t xml:space="preserve">.</w:t>
      </w:r>
    </w:p>
    <w:bookmarkEnd w:id="163"/>
    <w:bookmarkStart w:id="165"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164">
        <w:r>
          <w:rPr>
            <w:rStyle w:val="Hyperlink"/>
          </w:rPr>
          <w:t xml:space="preserve">https://books.google.com/books?id=Nh8Y3vIjXK8C</w:t>
        </w:r>
      </w:hyperlink>
      <w:r>
        <w:t xml:space="preserve">.</w:t>
      </w:r>
    </w:p>
    <w:bookmarkEnd w:id="165"/>
    <w:bookmarkStart w:id="167"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166">
        <w:r>
          <w:rPr>
            <w:rStyle w:val="Hyperlink"/>
          </w:rPr>
          <w:t xml:space="preserve">http://www.phillywatersheds.org/5Down</w:t>
        </w:r>
      </w:hyperlink>
      <w:r>
        <w:t xml:space="preserve">.</w:t>
      </w:r>
    </w:p>
    <w:bookmarkEnd w:id="167"/>
    <w:bookmarkStart w:id="169"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168">
        <w:r>
          <w:rPr>
            <w:rStyle w:val="Hyperlink"/>
          </w:rPr>
          <w:t xml:space="preserve">https://www.phila.gov/water/sustainability/protectingwaterways/Pages/default.aspx</w:t>
        </w:r>
      </w:hyperlink>
      <w:r>
        <w:t xml:space="preserve">.</w:t>
      </w:r>
    </w:p>
    <w:bookmarkEnd w:id="169"/>
    <w:bookmarkStart w:id="171"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170">
        <w:r>
          <w:rPr>
            <w:rStyle w:val="Hyperlink"/>
          </w:rPr>
          <w:t xml:space="preserve">https://doi.org/10.1061/jswbay.0000935</w:t>
        </w:r>
      </w:hyperlink>
      <w:r>
        <w:t xml:space="preserve">.</w:t>
      </w:r>
    </w:p>
    <w:bookmarkEnd w:id="171"/>
    <w:bookmarkStart w:id="173" w:name="ref-StevensWater"/>
    <w:p>
      <w:pPr>
        <w:pStyle w:val="Bibliography"/>
      </w:pPr>
      <w:r>
        <w:t xml:space="preserve">Stevens Water. 2021.</w:t>
      </w:r>
      <w:r>
        <w:t xml:space="preserve"> </w:t>
      </w:r>
      <w:r>
        <w:rPr>
          <w:iCs/>
          <w:i/>
        </w:rPr>
        <w:t xml:space="preserve">HydraProbe Data Sheet</w:t>
      </w:r>
      <w:r>
        <w:t xml:space="preserve">.</w:t>
      </w:r>
      <w:r>
        <w:t xml:space="preserve"> </w:t>
      </w:r>
      <w:hyperlink r:id="rId172">
        <w:r>
          <w:rPr>
            <w:rStyle w:val="Hyperlink"/>
          </w:rPr>
          <w:t xml:space="preserve">https://stevenswater.com/resources/datasheets/HydraProbe 2020{\_}draft3.pdf</w:t>
        </w:r>
      </w:hyperlink>
      <w:r>
        <w:t xml:space="preserve">.</w:t>
      </w:r>
    </w:p>
    <w:bookmarkEnd w:id="173"/>
    <w:bookmarkStart w:id="175"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174">
        <w:r>
          <w:rPr>
            <w:rStyle w:val="Hyperlink"/>
          </w:rPr>
          <w:t xml:space="preserve">https://doi.org/10.1061/(asce)ir.1943-4774.0001369</w:t>
        </w:r>
      </w:hyperlink>
      <w:r>
        <w:t xml:space="preserve">.</w:t>
      </w:r>
    </w:p>
    <w:bookmarkEnd w:id="175"/>
    <w:bookmarkStart w:id="177"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176">
        <w:r>
          <w:rPr>
            <w:rStyle w:val="Hyperlink"/>
          </w:rPr>
          <w:t xml:space="preserve">https://www.usbr.gov/tsc/techreferences/mands/wmm/chap07{\_}09.html https://www.usbr.gov/tsc/techreferences/mands/wmm/chap07{\_}07.html</w:t>
        </w:r>
      </w:hyperlink>
      <w:r>
        <w:t xml:space="preserve">.</w:t>
      </w:r>
    </w:p>
    <w:bookmarkEnd w:id="177"/>
    <w:bookmarkStart w:id="179"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178">
        <w:r>
          <w:rPr>
            <w:rStyle w:val="Hyperlink"/>
          </w:rPr>
          <w:t xml:space="preserve">https://doi.org/10.17226/12465</w:t>
        </w:r>
      </w:hyperlink>
      <w:r>
        <w:t xml:space="preserve">.</w:t>
      </w:r>
    </w:p>
    <w:bookmarkEnd w:id="179"/>
    <w:bookmarkStart w:id="181"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180">
        <w:r>
          <w:rPr>
            <w:rStyle w:val="Hyperlink"/>
          </w:rPr>
          <w:t xml:space="preserve">https://doi.org/10.1061/jswbay.0000819</w:t>
        </w:r>
      </w:hyperlink>
      <w:r>
        <w:t xml:space="preserve">.</w:t>
      </w:r>
    </w:p>
    <w:bookmarkEnd w:id="181"/>
    <w:bookmarkStart w:id="183"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182">
        <w:r>
          <w:rPr>
            <w:rStyle w:val="Hyperlink"/>
          </w:rPr>
          <w:t xml:space="preserve">https://doi.org/10.1061/9780784480151.051</w:t>
        </w:r>
      </w:hyperlink>
      <w:r>
        <w:t xml:space="preserve">.</w:t>
      </w:r>
    </w:p>
    <w:bookmarkEnd w:id="183"/>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93" Target="media/rId93.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78" Target="media/rId78.jp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123" Target="media/rId123.png" /><Relationship Type="http://schemas.openxmlformats.org/officeDocument/2006/relationships/image" Id="rId91" Target="media/rId91.png" /><Relationship Type="http://schemas.openxmlformats.org/officeDocument/2006/relationships/image" Id="rId50" Target="media/rId50.png" /><Relationship Type="http://schemas.openxmlformats.org/officeDocument/2006/relationships/image" Id="rId33" Target="media/rId33.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31" Target="media/rId31.jp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35" Target="media/rId35.jpg" /><Relationship Type="http://schemas.openxmlformats.org/officeDocument/2006/relationships/image" Id="rId24" Target="media/rId24.jpg" /><Relationship Type="http://schemas.openxmlformats.org/officeDocument/2006/relationships/image" Id="rId27" Target="media/rId27.png" /><Relationship Type="http://schemas.openxmlformats.org/officeDocument/2006/relationships/image" Id="rId37" Target="media/rId37.jpg" /><Relationship Type="http://schemas.openxmlformats.org/officeDocument/2006/relationships/image" Id="rId61" Target="media/rId61.png" /><Relationship Type="http://schemas.openxmlformats.org/officeDocument/2006/relationships/image" Id="rId63" Target="media/rId63.jpg" /><Relationship Type="http://schemas.openxmlformats.org/officeDocument/2006/relationships/hyperlink" Id="rId166" Target="http://www.phillywatersheds.org/5Down" TargetMode="External" /><Relationship Type="http://schemas.openxmlformats.org/officeDocument/2006/relationships/hyperlink" Id="rId129" Target="http://www.utd.edu/" TargetMode="External" /><Relationship Type="http://schemas.openxmlformats.org/officeDocument/2006/relationships/hyperlink" Id="rId164" Target="https://books.google.com/books?id=Nh8Y3vIjXK8C" TargetMode="External" /><Relationship Type="http://schemas.openxmlformats.org/officeDocument/2006/relationships/hyperlink" Id="rId135" Target="https://doi.org/10.1006/jaer.1999.0415" TargetMode="External" /><Relationship Type="http://schemas.openxmlformats.org/officeDocument/2006/relationships/hyperlink" Id="rId147" Target="https://doi.org/10.1007/978-1-4615-2027-6_52" TargetMode="External" /><Relationship Type="http://schemas.openxmlformats.org/officeDocument/2006/relationships/hyperlink" Id="rId160" Target="https://doi.org/10.1007/s00267-020-01339-9" TargetMode="External" /><Relationship Type="http://schemas.openxmlformats.org/officeDocument/2006/relationships/hyperlink" Id="rId156" Target="https://doi.org/10.1016/B978-0-444-88286-8.50015-5" TargetMode="External" /><Relationship Type="http://schemas.openxmlformats.org/officeDocument/2006/relationships/hyperlink" Id="rId151" Target="https://doi.org/10.1016/j.jksues.2020.07.013" TargetMode="External" /><Relationship Type="http://schemas.openxmlformats.org/officeDocument/2006/relationships/hyperlink" Id="rId139" Target="https://doi.org/10.1061/(ASCE)CP.1943-5487.0000290" TargetMode="External" /><Relationship Type="http://schemas.openxmlformats.org/officeDocument/2006/relationships/hyperlink" Id="rId144" Target="https://doi.org/10.1061/(asce)0733-9372(2009)135:3(109)" TargetMode="External" /><Relationship Type="http://schemas.openxmlformats.org/officeDocument/2006/relationships/hyperlink" Id="rId149" Target="https://doi.org/10.1061/(asce)0733-9437(2008)134:5(598)" TargetMode="External" /><Relationship Type="http://schemas.openxmlformats.org/officeDocument/2006/relationships/hyperlink" Id="rId162" Target="https://doi.org/10.1061/(asce)ir.1943-4774.0000184" TargetMode="External" /><Relationship Type="http://schemas.openxmlformats.org/officeDocument/2006/relationships/hyperlink" Id="rId158" Target="https://doi.org/10.1061/(asce)ir.1943-4774.0000264" TargetMode="External" /><Relationship Type="http://schemas.openxmlformats.org/officeDocument/2006/relationships/hyperlink" Id="rId174" Target="https://doi.org/10.1061/(asce)ir.1943-4774.0001369" TargetMode="External" /><Relationship Type="http://schemas.openxmlformats.org/officeDocument/2006/relationships/hyperlink" Id="rId154" Target="https://doi.org/10.1061/9780784479889.013" TargetMode="External" /><Relationship Type="http://schemas.openxmlformats.org/officeDocument/2006/relationships/hyperlink" Id="rId182" Target="https://doi.org/10.1061/9780784480151.051" TargetMode="External" /><Relationship Type="http://schemas.openxmlformats.org/officeDocument/2006/relationships/hyperlink" Id="rId141" Target="https://doi.org/10.1061/9780784482360.019" TargetMode="External" /><Relationship Type="http://schemas.openxmlformats.org/officeDocument/2006/relationships/hyperlink" Id="rId180" Target="https://doi.org/10.1061/jswbay.0000819" TargetMode="External" /><Relationship Type="http://schemas.openxmlformats.org/officeDocument/2006/relationships/hyperlink" Id="rId170" Target="https://doi.org/10.1061/jswbay.0000935" TargetMode="External" /><Relationship Type="http://schemas.openxmlformats.org/officeDocument/2006/relationships/hyperlink" Id="rId133" Target="https://doi.org/10.1175/JAMC-D-17-0267.1" TargetMode="External" /><Relationship Type="http://schemas.openxmlformats.org/officeDocument/2006/relationships/hyperlink" Id="rId178" Target="https://doi.org/10.17226/12465" TargetMode="External" /><Relationship Type="http://schemas.openxmlformats.org/officeDocument/2006/relationships/hyperlink" Id="rId137" Target="https://doi.org/10.2134/jeq2008.0117" TargetMode="External" /><Relationship Type="http://schemas.openxmlformats.org/officeDocument/2006/relationships/hyperlink" Id="rId131" Target="https://doi.org/doi:10.1061/9780784479162.020" TargetMode="External" /><Relationship Type="http://schemas.openxmlformats.org/officeDocument/2006/relationships/hyperlink" Id="rId172" Target="https://stevenswater.com/resources/datasheets/HydraProbe 2020{\_}draft3.pdf" TargetMode="External" /><Relationship Type="http://schemas.openxmlformats.org/officeDocument/2006/relationships/hyperlink" Id="rId168" Target="https://www.phila.gov/water/sustainability/protectingwaterways/Pages/default.aspx" TargetMode="External" /><Relationship Type="http://schemas.openxmlformats.org/officeDocument/2006/relationships/hyperlink" Id="rId176" Target="https://www.usbr.gov/tsc/techreferences/mands/wmm/chap07{\_}09.html https://www.usbr.gov/tsc/techreferences/mands/wmm/chap07{\_}07.html" TargetMode="External" /></Relationships>
</file>

<file path=word/_rels/footnotes.xml.rels><?xml version="1.0" encoding="UTF-8"?>
<Relationships xmlns="http://schemas.openxmlformats.org/package/2006/relationships"><Relationship Type="http://schemas.openxmlformats.org/officeDocument/2006/relationships/hyperlink" Id="rId166" Target="http://www.phillywatersheds.org/5Down" TargetMode="External" /><Relationship Type="http://schemas.openxmlformats.org/officeDocument/2006/relationships/hyperlink" Id="rId129" Target="http://www.utd.edu/" TargetMode="External" /><Relationship Type="http://schemas.openxmlformats.org/officeDocument/2006/relationships/hyperlink" Id="rId164" Target="https://books.google.com/books?id=Nh8Y3vIjXK8C" TargetMode="External" /><Relationship Type="http://schemas.openxmlformats.org/officeDocument/2006/relationships/hyperlink" Id="rId135" Target="https://doi.org/10.1006/jaer.1999.0415" TargetMode="External" /><Relationship Type="http://schemas.openxmlformats.org/officeDocument/2006/relationships/hyperlink" Id="rId147" Target="https://doi.org/10.1007/978-1-4615-2027-6_52" TargetMode="External" /><Relationship Type="http://schemas.openxmlformats.org/officeDocument/2006/relationships/hyperlink" Id="rId160" Target="https://doi.org/10.1007/s00267-020-01339-9" TargetMode="External" /><Relationship Type="http://schemas.openxmlformats.org/officeDocument/2006/relationships/hyperlink" Id="rId156" Target="https://doi.org/10.1016/B978-0-444-88286-8.50015-5" TargetMode="External" /><Relationship Type="http://schemas.openxmlformats.org/officeDocument/2006/relationships/hyperlink" Id="rId151" Target="https://doi.org/10.1016/j.jksues.2020.07.013" TargetMode="External" /><Relationship Type="http://schemas.openxmlformats.org/officeDocument/2006/relationships/hyperlink" Id="rId139" Target="https://doi.org/10.1061/(ASCE)CP.1943-5487.0000290" TargetMode="External" /><Relationship Type="http://schemas.openxmlformats.org/officeDocument/2006/relationships/hyperlink" Id="rId144" Target="https://doi.org/10.1061/(asce)0733-9372(2009)135:3(109)" TargetMode="External" /><Relationship Type="http://schemas.openxmlformats.org/officeDocument/2006/relationships/hyperlink" Id="rId149" Target="https://doi.org/10.1061/(asce)0733-9437(2008)134:5(598)" TargetMode="External" /><Relationship Type="http://schemas.openxmlformats.org/officeDocument/2006/relationships/hyperlink" Id="rId162" Target="https://doi.org/10.1061/(asce)ir.1943-4774.0000184" TargetMode="External" /><Relationship Type="http://schemas.openxmlformats.org/officeDocument/2006/relationships/hyperlink" Id="rId158" Target="https://doi.org/10.1061/(asce)ir.1943-4774.0000264" TargetMode="External" /><Relationship Type="http://schemas.openxmlformats.org/officeDocument/2006/relationships/hyperlink" Id="rId174" Target="https://doi.org/10.1061/(asce)ir.1943-4774.0001369" TargetMode="External" /><Relationship Type="http://schemas.openxmlformats.org/officeDocument/2006/relationships/hyperlink" Id="rId154" Target="https://doi.org/10.1061/9780784479889.013" TargetMode="External" /><Relationship Type="http://schemas.openxmlformats.org/officeDocument/2006/relationships/hyperlink" Id="rId182" Target="https://doi.org/10.1061/9780784480151.051" TargetMode="External" /><Relationship Type="http://schemas.openxmlformats.org/officeDocument/2006/relationships/hyperlink" Id="rId141" Target="https://doi.org/10.1061/9780784482360.019" TargetMode="External" /><Relationship Type="http://schemas.openxmlformats.org/officeDocument/2006/relationships/hyperlink" Id="rId180" Target="https://doi.org/10.1061/jswbay.0000819" TargetMode="External" /><Relationship Type="http://schemas.openxmlformats.org/officeDocument/2006/relationships/hyperlink" Id="rId170" Target="https://doi.org/10.1061/jswbay.0000935" TargetMode="External" /><Relationship Type="http://schemas.openxmlformats.org/officeDocument/2006/relationships/hyperlink" Id="rId133" Target="https://doi.org/10.1175/JAMC-D-17-0267.1" TargetMode="External" /><Relationship Type="http://schemas.openxmlformats.org/officeDocument/2006/relationships/hyperlink" Id="rId178" Target="https://doi.org/10.17226/12465" TargetMode="External" /><Relationship Type="http://schemas.openxmlformats.org/officeDocument/2006/relationships/hyperlink" Id="rId137" Target="https://doi.org/10.2134/jeq2008.0117" TargetMode="External" /><Relationship Type="http://schemas.openxmlformats.org/officeDocument/2006/relationships/hyperlink" Id="rId131" Target="https://doi.org/doi:10.1061/9780784479162.020" TargetMode="External" /><Relationship Type="http://schemas.openxmlformats.org/officeDocument/2006/relationships/hyperlink" Id="rId172" Target="https://stevenswater.com/resources/datasheets/HydraProbe 2020{\_}draft3.pdf" TargetMode="External" /><Relationship Type="http://schemas.openxmlformats.org/officeDocument/2006/relationships/hyperlink" Id="rId168" Target="https://www.phila.gov/water/sustainability/protectingwaterways/Pages/default.aspx" TargetMode="External" /><Relationship Type="http://schemas.openxmlformats.org/officeDocument/2006/relationships/hyperlink" Id="rId176" Target="https://www.usbr.gov/tsc/techreferences/mands/wmm/chap07{\_}09.html https://www.usbr.gov/tsc/techreferences/mands/wmm/chap07{\_}07.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2021-04-01T04:23:12Z</dcterms:created>
  <dcterms:modified xsi:type="dcterms:W3CDTF">2021-04-01T04:23:12Z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